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AE71E" w14:textId="77777777" w:rsidR="000D52F1" w:rsidRDefault="000D52F1" w:rsidP="00DB0813">
      <w:pPr>
        <w:spacing w:line="360" w:lineRule="auto"/>
        <w:rPr>
          <w:rFonts w:ascii="Arial" w:hAnsi="Arial" w:cs="Arial"/>
          <w:b/>
        </w:rPr>
      </w:pPr>
    </w:p>
    <w:p w14:paraId="03D9B2C6" w14:textId="6E05592C" w:rsidR="00DB0813" w:rsidRDefault="00DB0813" w:rsidP="00DB0813">
      <w:pPr>
        <w:spacing w:line="360" w:lineRule="auto"/>
        <w:rPr>
          <w:rFonts w:ascii="Arial" w:hAnsi="Arial" w:cs="Arial"/>
          <w:b/>
        </w:rPr>
      </w:pPr>
      <w:r>
        <w:rPr>
          <w:rFonts w:ascii="Arial" w:hAnsi="Arial" w:cs="Arial"/>
          <w:b/>
        </w:rPr>
        <w:t xml:space="preserve">Running your </w:t>
      </w:r>
      <w:r w:rsidR="0050108E">
        <w:rPr>
          <w:rFonts w:ascii="Arial" w:hAnsi="Arial" w:cs="Arial"/>
          <w:b/>
        </w:rPr>
        <w:t>Women in Law Roundtable</w:t>
      </w:r>
    </w:p>
    <w:p w14:paraId="536C91D0" w14:textId="731159B7" w:rsidR="00DB0813" w:rsidRDefault="00DB0813" w:rsidP="00840C4A">
      <w:pPr>
        <w:spacing w:line="240" w:lineRule="auto"/>
        <w:rPr>
          <w:rFonts w:ascii="Arial" w:hAnsi="Arial" w:cs="Arial"/>
        </w:rPr>
      </w:pPr>
      <w:r>
        <w:rPr>
          <w:rFonts w:ascii="Arial" w:hAnsi="Arial" w:cs="Arial"/>
        </w:rPr>
        <w:t>Roundtables are meetings focused on consensus-building to explore specific issues and identify creative solutions in a safe and non-judgemental environment, where all participants have equal standing and can speak freely on the subject.</w:t>
      </w:r>
    </w:p>
    <w:p w14:paraId="04E7A1F1" w14:textId="60E462FA" w:rsidR="00DB0813" w:rsidRPr="00DB0813" w:rsidRDefault="00DB0813" w:rsidP="00840C4A">
      <w:pPr>
        <w:spacing w:line="240" w:lineRule="auto"/>
        <w:rPr>
          <w:rFonts w:ascii="Arial" w:hAnsi="Arial" w:cs="Arial"/>
        </w:rPr>
      </w:pPr>
      <w:r>
        <w:rPr>
          <w:rFonts w:ascii="Arial" w:hAnsi="Arial" w:cs="Arial"/>
        </w:rPr>
        <w:t xml:space="preserve">Roundtables must confront issues rather people and aim to create a win-win scenario. </w:t>
      </w:r>
      <w:r w:rsidR="00817DEE">
        <w:rPr>
          <w:rFonts w:ascii="Arial" w:hAnsi="Arial" w:cs="Arial"/>
        </w:rPr>
        <w:t>Interested p</w:t>
      </w:r>
      <w:r>
        <w:rPr>
          <w:rFonts w:ascii="Arial" w:hAnsi="Arial" w:cs="Arial"/>
        </w:rPr>
        <w:t>articipants come freely</w:t>
      </w:r>
      <w:r w:rsidR="00817DEE">
        <w:rPr>
          <w:rFonts w:ascii="Arial" w:hAnsi="Arial" w:cs="Arial"/>
        </w:rPr>
        <w:t xml:space="preserve"> and it is not a public meeting</w:t>
      </w:r>
    </w:p>
    <w:p w14:paraId="36C8F034" w14:textId="1E0A8A33" w:rsidR="00DB0813" w:rsidRDefault="00817DEE" w:rsidP="00840C4A">
      <w:pPr>
        <w:autoSpaceDE w:val="0"/>
        <w:autoSpaceDN w:val="0"/>
        <w:adjustRightInd w:val="0"/>
        <w:spacing w:after="0" w:line="240" w:lineRule="auto"/>
        <w:rPr>
          <w:rFonts w:ascii="Arial" w:hAnsi="Arial" w:cs="Arial"/>
          <w:b/>
          <w:bCs/>
          <w:i/>
          <w:color w:val="0D0D0D" w:themeColor="text1" w:themeTint="F2"/>
        </w:rPr>
      </w:pPr>
      <w:r>
        <w:rPr>
          <w:rFonts w:ascii="Arial" w:hAnsi="Arial" w:cs="Arial"/>
          <w:bCs/>
          <w:color w:val="0D0D0D" w:themeColor="text1" w:themeTint="F2"/>
        </w:rPr>
        <w:t>The discussions are covered by the Chatham House Rule</w:t>
      </w:r>
      <w:r>
        <w:rPr>
          <w:rStyle w:val="FootnoteReference"/>
          <w:rFonts w:ascii="Arial" w:hAnsi="Arial" w:cs="Arial"/>
          <w:bCs/>
          <w:color w:val="0D0D0D" w:themeColor="text1" w:themeTint="F2"/>
        </w:rPr>
        <w:footnoteReference w:id="1"/>
      </w:r>
      <w:r>
        <w:rPr>
          <w:rFonts w:ascii="Arial" w:hAnsi="Arial" w:cs="Arial"/>
          <w:bCs/>
          <w:color w:val="0D0D0D" w:themeColor="text1" w:themeTint="F2"/>
        </w:rPr>
        <w:t xml:space="preserve">: </w:t>
      </w:r>
      <w:r w:rsidRPr="00D052F9">
        <w:rPr>
          <w:rFonts w:ascii="Arial" w:hAnsi="Arial" w:cs="Arial"/>
          <w:b/>
          <w:bCs/>
          <w:i/>
          <w:color w:val="0D0D0D" w:themeColor="text1" w:themeTint="F2"/>
        </w:rPr>
        <w:t>participants are free to use the information received but neither the identity nor the affiliation of the speaker(s), nor that of any other participant, may be revealed.</w:t>
      </w:r>
    </w:p>
    <w:p w14:paraId="1564877E" w14:textId="066497BD" w:rsidR="00817DEE" w:rsidRDefault="00817DEE" w:rsidP="00840C4A">
      <w:pPr>
        <w:autoSpaceDE w:val="0"/>
        <w:autoSpaceDN w:val="0"/>
        <w:adjustRightInd w:val="0"/>
        <w:spacing w:after="0" w:line="240" w:lineRule="auto"/>
        <w:rPr>
          <w:rFonts w:ascii="Arial" w:hAnsi="Arial" w:cs="Arial"/>
          <w:b/>
          <w:bCs/>
          <w:i/>
          <w:color w:val="0D0D0D" w:themeColor="text1" w:themeTint="F2"/>
        </w:rPr>
      </w:pPr>
    </w:p>
    <w:p w14:paraId="5C1DE089" w14:textId="1ECF6AD6" w:rsidR="00817DEE" w:rsidRDefault="00817DEE" w:rsidP="00840C4A">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 xml:space="preserve">These roundtables will give the Law Society of Scotland qualitative data to complement the quantitative data of </w:t>
      </w:r>
      <w:r>
        <w:rPr>
          <w:rFonts w:ascii="Arial" w:hAnsi="Arial" w:cs="Arial"/>
          <w:bCs/>
          <w:i/>
          <w:color w:val="0D0D0D" w:themeColor="text1" w:themeTint="F2"/>
        </w:rPr>
        <w:t>Profile of the Profession</w:t>
      </w:r>
      <w:r>
        <w:rPr>
          <w:rStyle w:val="FootnoteReference"/>
          <w:rFonts w:ascii="Arial" w:hAnsi="Arial" w:cs="Arial"/>
          <w:bCs/>
          <w:i/>
          <w:color w:val="0D0D0D" w:themeColor="text1" w:themeTint="F2"/>
        </w:rPr>
        <w:footnoteReference w:id="2"/>
      </w:r>
      <w:r>
        <w:rPr>
          <w:rFonts w:ascii="Arial" w:hAnsi="Arial" w:cs="Arial"/>
          <w:bCs/>
          <w:color w:val="0D0D0D" w:themeColor="text1" w:themeTint="F2"/>
        </w:rPr>
        <w:t>. It is important that the structure of all the roundtables is consistent and follows the guidelines set out in this document.</w:t>
      </w:r>
    </w:p>
    <w:p w14:paraId="5103DF2A" w14:textId="77777777" w:rsidR="00817DEE" w:rsidRDefault="00817DEE" w:rsidP="00840C4A">
      <w:pPr>
        <w:autoSpaceDE w:val="0"/>
        <w:autoSpaceDN w:val="0"/>
        <w:adjustRightInd w:val="0"/>
        <w:spacing w:after="0" w:line="240" w:lineRule="auto"/>
        <w:rPr>
          <w:rFonts w:ascii="Arial" w:hAnsi="Arial" w:cs="Arial"/>
          <w:bCs/>
          <w:color w:val="0D0D0D" w:themeColor="text1" w:themeTint="F2"/>
        </w:rPr>
      </w:pPr>
    </w:p>
    <w:p w14:paraId="659911C5" w14:textId="21318F92" w:rsidR="00817DEE" w:rsidRDefault="00817DEE" w:rsidP="00840C4A">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There is no ‘leader’ in a roundtable: it is important that there is a facilitator to ensure equal participation, to main</w:t>
      </w:r>
      <w:r w:rsidR="00D73892">
        <w:rPr>
          <w:rFonts w:ascii="Arial" w:hAnsi="Arial" w:cs="Arial"/>
          <w:bCs/>
          <w:color w:val="0D0D0D" w:themeColor="text1" w:themeTint="F2"/>
        </w:rPr>
        <w:t>tain</w:t>
      </w:r>
      <w:r>
        <w:rPr>
          <w:rFonts w:ascii="Arial" w:hAnsi="Arial" w:cs="Arial"/>
          <w:bCs/>
          <w:color w:val="0D0D0D" w:themeColor="text1" w:themeTint="F2"/>
        </w:rPr>
        <w:t xml:space="preserve"> focus and to ensure that a record of the process it taken in accordance with the agreed methodology.</w:t>
      </w:r>
    </w:p>
    <w:p w14:paraId="3F2D439D" w14:textId="6F00316A" w:rsidR="00817DEE" w:rsidRPr="00817DEE" w:rsidRDefault="00817DEE" w:rsidP="00840C4A">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br/>
        <w:t>Similarly, a notetaker should be allocated at each roundtable to maintain a record of perceived barriers, examples of best practice and solutions; and to capture the agreed calls to action</w:t>
      </w:r>
      <w:r w:rsidR="0000318F">
        <w:rPr>
          <w:rFonts w:ascii="Arial" w:hAnsi="Arial" w:cs="Arial"/>
          <w:bCs/>
          <w:color w:val="0D0D0D" w:themeColor="text1" w:themeTint="F2"/>
        </w:rPr>
        <w:t xml:space="preserve"> they should</w:t>
      </w:r>
      <w:r w:rsidR="004D19BF">
        <w:rPr>
          <w:rFonts w:ascii="Arial" w:hAnsi="Arial" w:cs="Arial"/>
          <w:bCs/>
          <w:color w:val="0D0D0D" w:themeColor="text1" w:themeTint="F2"/>
        </w:rPr>
        <w:t xml:space="preserve"> use the template in the Appendix. All content will be anonymised by the Law Society of Scotland.</w:t>
      </w:r>
    </w:p>
    <w:p w14:paraId="6BC1A076" w14:textId="75C25418" w:rsidR="00DB0813" w:rsidRDefault="00DB0813" w:rsidP="00840C4A">
      <w:pPr>
        <w:autoSpaceDE w:val="0"/>
        <w:autoSpaceDN w:val="0"/>
        <w:adjustRightInd w:val="0"/>
        <w:spacing w:after="0" w:line="240" w:lineRule="auto"/>
        <w:rPr>
          <w:rFonts w:ascii="Arial" w:hAnsi="Arial" w:cs="Arial"/>
          <w:b/>
          <w:bCs/>
          <w:color w:val="0D0D0D" w:themeColor="text1" w:themeTint="F2"/>
        </w:rPr>
      </w:pPr>
    </w:p>
    <w:p w14:paraId="3B2100D3" w14:textId="7C296BE6" w:rsidR="0000318F" w:rsidRDefault="0000318F" w:rsidP="00840C4A">
      <w:pPr>
        <w:autoSpaceDE w:val="0"/>
        <w:autoSpaceDN w:val="0"/>
        <w:adjustRightInd w:val="0"/>
        <w:spacing w:after="0" w:line="240" w:lineRule="auto"/>
        <w:rPr>
          <w:rFonts w:ascii="Arial" w:hAnsi="Arial" w:cs="Arial"/>
          <w:b/>
          <w:bCs/>
          <w:color w:val="0D0D0D" w:themeColor="text1" w:themeTint="F2"/>
        </w:rPr>
      </w:pPr>
    </w:p>
    <w:p w14:paraId="5C1D612C" w14:textId="6E25B052" w:rsidR="0000318F" w:rsidRDefault="0000318F" w:rsidP="00840C4A">
      <w:pPr>
        <w:autoSpaceDE w:val="0"/>
        <w:autoSpaceDN w:val="0"/>
        <w:adjustRightInd w:val="0"/>
        <w:spacing w:after="0" w:line="240" w:lineRule="auto"/>
        <w:rPr>
          <w:rFonts w:ascii="Arial" w:hAnsi="Arial" w:cs="Arial"/>
          <w:b/>
          <w:bCs/>
          <w:color w:val="0D0D0D" w:themeColor="text1" w:themeTint="F2"/>
        </w:rPr>
      </w:pPr>
    </w:p>
    <w:p w14:paraId="2B638185" w14:textId="1AAB221A" w:rsidR="0000318F" w:rsidRDefault="0000318F" w:rsidP="00840C4A">
      <w:pPr>
        <w:autoSpaceDE w:val="0"/>
        <w:autoSpaceDN w:val="0"/>
        <w:adjustRightInd w:val="0"/>
        <w:spacing w:after="0" w:line="240" w:lineRule="auto"/>
        <w:rPr>
          <w:rFonts w:ascii="Arial" w:hAnsi="Arial" w:cs="Arial"/>
          <w:b/>
          <w:bCs/>
          <w:color w:val="0D0D0D" w:themeColor="text1" w:themeTint="F2"/>
        </w:rPr>
      </w:pPr>
    </w:p>
    <w:p w14:paraId="32480B46" w14:textId="77777777" w:rsidR="004D19BF" w:rsidRDefault="004D19BF" w:rsidP="00840C4A">
      <w:pPr>
        <w:autoSpaceDE w:val="0"/>
        <w:autoSpaceDN w:val="0"/>
        <w:adjustRightInd w:val="0"/>
        <w:spacing w:after="0" w:line="240" w:lineRule="auto"/>
        <w:rPr>
          <w:rFonts w:ascii="Arial" w:hAnsi="Arial" w:cs="Arial"/>
          <w:b/>
          <w:bCs/>
          <w:color w:val="0D0D0D" w:themeColor="text1" w:themeTint="F2"/>
        </w:rPr>
      </w:pPr>
    </w:p>
    <w:p w14:paraId="17A19CE2" w14:textId="2E0C3CAE"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2680A9FE" w14:textId="31063364"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55EE4D0E" w14:textId="320F0819"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05B68426" w14:textId="45F849D8"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6135CB78" w14:textId="67CB98ED"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08B6B03D" w14:textId="6393DC77"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3A7DA5EF" w14:textId="54456D82"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0686EB4C" w14:textId="77777777" w:rsidR="00840C4A" w:rsidRDefault="00840C4A" w:rsidP="00834190">
      <w:pPr>
        <w:autoSpaceDE w:val="0"/>
        <w:autoSpaceDN w:val="0"/>
        <w:adjustRightInd w:val="0"/>
        <w:spacing w:after="0" w:line="240" w:lineRule="auto"/>
        <w:rPr>
          <w:rFonts w:ascii="Arial" w:hAnsi="Arial" w:cs="Arial"/>
          <w:b/>
          <w:bCs/>
          <w:color w:val="0D0D0D" w:themeColor="text1" w:themeTint="F2"/>
        </w:rPr>
      </w:pPr>
    </w:p>
    <w:p w14:paraId="003F9228" w14:textId="21D6C05B"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469E2E66" w14:textId="3D66CA22"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2B655458" w14:textId="69616D36"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59A7A820" w14:textId="0FE9C8F7"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16CF7071" w14:textId="2F19682F"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7CBE9156" w14:textId="35DA8E46"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55C37628" w14:textId="77777777" w:rsidR="000D52F1" w:rsidRDefault="000D52F1">
      <w:pPr>
        <w:rPr>
          <w:rFonts w:ascii="Arial" w:hAnsi="Arial" w:cs="Arial"/>
          <w:b/>
          <w:bCs/>
          <w:color w:val="0D0D0D" w:themeColor="text1" w:themeTint="F2"/>
        </w:rPr>
      </w:pPr>
      <w:r>
        <w:rPr>
          <w:rFonts w:ascii="Arial" w:hAnsi="Arial" w:cs="Arial"/>
          <w:b/>
          <w:bCs/>
          <w:color w:val="0D0D0D" w:themeColor="text1" w:themeTint="F2"/>
        </w:rPr>
        <w:br w:type="page"/>
      </w:r>
    </w:p>
    <w:p w14:paraId="6F92BE66" w14:textId="77777777" w:rsidR="000D52F1" w:rsidRDefault="000D52F1" w:rsidP="0000318F">
      <w:pPr>
        <w:autoSpaceDE w:val="0"/>
        <w:autoSpaceDN w:val="0"/>
        <w:adjustRightInd w:val="0"/>
        <w:spacing w:after="0" w:line="240" w:lineRule="auto"/>
        <w:rPr>
          <w:rFonts w:ascii="Arial" w:hAnsi="Arial" w:cs="Arial"/>
          <w:b/>
          <w:bCs/>
          <w:color w:val="0D0D0D" w:themeColor="text1" w:themeTint="F2"/>
        </w:rPr>
      </w:pPr>
    </w:p>
    <w:p w14:paraId="4F832785" w14:textId="4698D0E5" w:rsidR="0000318F" w:rsidRDefault="0000318F" w:rsidP="0000318F">
      <w:pPr>
        <w:autoSpaceDE w:val="0"/>
        <w:autoSpaceDN w:val="0"/>
        <w:adjustRightInd w:val="0"/>
        <w:spacing w:after="0" w:line="240" w:lineRule="auto"/>
        <w:rPr>
          <w:rFonts w:ascii="Arial" w:hAnsi="Arial" w:cs="Arial"/>
          <w:b/>
          <w:bCs/>
          <w:color w:val="0D0D0D" w:themeColor="text1" w:themeTint="F2"/>
        </w:rPr>
      </w:pPr>
      <w:r>
        <w:rPr>
          <w:rFonts w:ascii="Arial" w:hAnsi="Arial" w:cs="Arial"/>
          <w:b/>
          <w:bCs/>
          <w:color w:val="0D0D0D" w:themeColor="text1" w:themeTint="F2"/>
        </w:rPr>
        <w:t xml:space="preserve">Participants </w:t>
      </w:r>
    </w:p>
    <w:p w14:paraId="199C42AE" w14:textId="1AB6D179" w:rsidR="0000318F" w:rsidRDefault="0000318F" w:rsidP="0000318F">
      <w:pPr>
        <w:autoSpaceDE w:val="0"/>
        <w:autoSpaceDN w:val="0"/>
        <w:adjustRightInd w:val="0"/>
        <w:spacing w:after="0" w:line="240" w:lineRule="auto"/>
        <w:rPr>
          <w:rFonts w:ascii="Arial" w:hAnsi="Arial" w:cs="Arial"/>
          <w:b/>
          <w:bCs/>
          <w:color w:val="0D0D0D" w:themeColor="text1" w:themeTint="F2"/>
        </w:rPr>
      </w:pPr>
    </w:p>
    <w:p w14:paraId="2B206E80" w14:textId="43DC32E0" w:rsidR="0000318F" w:rsidRDefault="0000318F" w:rsidP="00834190">
      <w:pPr>
        <w:autoSpaceDE w:val="0"/>
        <w:autoSpaceDN w:val="0"/>
        <w:adjustRightInd w:val="0"/>
        <w:spacing w:after="0" w:line="240" w:lineRule="auto"/>
        <w:rPr>
          <w:rFonts w:ascii="Arial" w:hAnsi="Arial" w:cs="Arial"/>
          <w:b/>
          <w:bCs/>
          <w:color w:val="0D0D0D" w:themeColor="text1" w:themeTint="F2"/>
        </w:rPr>
      </w:pPr>
      <w:r>
        <w:rPr>
          <w:rFonts w:ascii="Arial" w:hAnsi="Arial" w:cs="Arial"/>
          <w:bCs/>
          <w:color w:val="0D0D0D" w:themeColor="text1" w:themeTint="F2"/>
        </w:rPr>
        <w:t xml:space="preserve">We encourage hosts to do everything they can to ensure a diversity of participants. For instance, if a law firm is </w:t>
      </w:r>
      <w:r w:rsidR="00BE7542">
        <w:rPr>
          <w:rFonts w:ascii="Arial" w:hAnsi="Arial" w:cs="Arial"/>
          <w:bCs/>
          <w:color w:val="0D0D0D" w:themeColor="text1" w:themeTint="F2"/>
        </w:rPr>
        <w:t>hosting,</w:t>
      </w:r>
      <w:r>
        <w:rPr>
          <w:rFonts w:ascii="Arial" w:hAnsi="Arial" w:cs="Arial"/>
          <w:bCs/>
          <w:color w:val="0D0D0D" w:themeColor="text1" w:themeTint="F2"/>
        </w:rPr>
        <w:t xml:space="preserve"> we would encourage organisers to seek attendees from various stages of their career (e.g. trainee through to partner) and</w:t>
      </w:r>
      <w:bookmarkStart w:id="0" w:name="_GoBack"/>
      <w:bookmarkEnd w:id="0"/>
      <w:r>
        <w:rPr>
          <w:rFonts w:ascii="Arial" w:hAnsi="Arial" w:cs="Arial"/>
          <w:bCs/>
          <w:color w:val="0D0D0D" w:themeColor="text1" w:themeTint="F2"/>
        </w:rPr>
        <w:t xml:space="preserve"> seek attendees from different ethnic and socio-economic backgrounds. Feel free to invite participants from outwith the organisation also (i.e. clients).</w:t>
      </w:r>
    </w:p>
    <w:p w14:paraId="154030CD" w14:textId="5A9CD74D" w:rsidR="0000318F" w:rsidRDefault="0000318F" w:rsidP="00834190">
      <w:pPr>
        <w:autoSpaceDE w:val="0"/>
        <w:autoSpaceDN w:val="0"/>
        <w:adjustRightInd w:val="0"/>
        <w:spacing w:after="0" w:line="240" w:lineRule="auto"/>
        <w:rPr>
          <w:rFonts w:ascii="Arial" w:hAnsi="Arial" w:cs="Arial"/>
          <w:b/>
          <w:bCs/>
          <w:color w:val="0D0D0D" w:themeColor="text1" w:themeTint="F2"/>
        </w:rPr>
      </w:pPr>
    </w:p>
    <w:p w14:paraId="6F0E3176" w14:textId="77777777" w:rsidR="00DB0813" w:rsidRDefault="00DB0813" w:rsidP="00834190">
      <w:pPr>
        <w:autoSpaceDE w:val="0"/>
        <w:autoSpaceDN w:val="0"/>
        <w:adjustRightInd w:val="0"/>
        <w:spacing w:after="0" w:line="240" w:lineRule="auto"/>
        <w:rPr>
          <w:rFonts w:ascii="Arial" w:hAnsi="Arial" w:cs="Arial"/>
          <w:b/>
          <w:bCs/>
          <w:color w:val="0D0D0D" w:themeColor="text1" w:themeTint="F2"/>
        </w:rPr>
      </w:pPr>
    </w:p>
    <w:p w14:paraId="02FCC144" w14:textId="7E35BFDB" w:rsidR="00834190" w:rsidRDefault="00834190" w:rsidP="00834190">
      <w:pPr>
        <w:autoSpaceDE w:val="0"/>
        <w:autoSpaceDN w:val="0"/>
        <w:adjustRightInd w:val="0"/>
        <w:spacing w:after="0" w:line="240" w:lineRule="auto"/>
        <w:rPr>
          <w:rFonts w:ascii="Arial" w:hAnsi="Arial" w:cs="Arial"/>
          <w:b/>
          <w:bCs/>
          <w:color w:val="0D0D0D" w:themeColor="text1" w:themeTint="F2"/>
        </w:rPr>
      </w:pPr>
      <w:r>
        <w:rPr>
          <w:rFonts w:ascii="Arial" w:hAnsi="Arial" w:cs="Arial"/>
          <w:b/>
          <w:bCs/>
          <w:color w:val="0D0D0D" w:themeColor="text1" w:themeTint="F2"/>
        </w:rPr>
        <w:t>Ground rules for the roundtable</w:t>
      </w:r>
      <w:r>
        <w:rPr>
          <w:rFonts w:ascii="Arial" w:hAnsi="Arial" w:cs="Arial"/>
          <w:b/>
          <w:bCs/>
          <w:color w:val="0D0D0D" w:themeColor="text1" w:themeTint="F2"/>
        </w:rPr>
        <w:br/>
      </w:r>
    </w:p>
    <w:p w14:paraId="358F05FA"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No mobile phones.</w:t>
      </w:r>
    </w:p>
    <w:p w14:paraId="4AE50B1C"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No side conversations: it is a group discussion.</w:t>
      </w:r>
    </w:p>
    <w:p w14:paraId="4FE7FFFF"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Open, frank and fruitful discussions in a polite manner.</w:t>
      </w:r>
    </w:p>
    <w:p w14:paraId="1254B6C7"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Listen to others, no interruptions.</w:t>
      </w:r>
    </w:p>
    <w:p w14:paraId="56F49B4D"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Respect of the agreed schedule and speaking time.</w:t>
      </w:r>
    </w:p>
    <w:p w14:paraId="00F6BCDB"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Consensus-oriented meeting.</w:t>
      </w:r>
    </w:p>
    <w:p w14:paraId="14B7D5E8"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Active participation of everyone.</w:t>
      </w:r>
    </w:p>
    <w:p w14:paraId="6B95EF89"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Differences in opinion will not be taken personally.</w:t>
      </w:r>
    </w:p>
    <w:p w14:paraId="72134055" w14:textId="77777777" w:rsidR="00834190" w:rsidRDefault="00834190" w:rsidP="00834190">
      <w:pPr>
        <w:pStyle w:val="ListParagraph"/>
        <w:numPr>
          <w:ilvl w:val="0"/>
          <w:numId w:val="1"/>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Voluntary participation.</w:t>
      </w:r>
    </w:p>
    <w:p w14:paraId="2DF151B8"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E9A947F"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732A819"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sectPr w:rsidR="00756439" w:rsidSect="00756439">
          <w:headerReference w:type="default" r:id="rId8"/>
          <w:footerReference w:type="default" r:id="rId9"/>
          <w:type w:val="continuous"/>
          <w:pgSz w:w="11906" w:h="16838"/>
          <w:pgMar w:top="1440" w:right="1440" w:bottom="1440" w:left="1440" w:header="708" w:footer="708" w:gutter="0"/>
          <w:cols w:space="708"/>
          <w:docGrid w:linePitch="360"/>
        </w:sectPr>
      </w:pPr>
    </w:p>
    <w:p w14:paraId="4048A21A" w14:textId="4C461223"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18A69D0"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1AA24D4"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0026D710"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2640278"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CD76808"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9143F25"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02492B85"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1ECCB21"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0E6A5A5F"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19E7F1A"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B7BC5A2"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F4108BA"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A661E88"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3FF2DE9"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263537A"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102D17F"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E710CD9"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6B5AFD9"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CCB7809"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A01965B"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366D8E5"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2DA75D1" w14:textId="2D67A9B0"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CE5A046" w14:textId="10428762"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3506815" w14:textId="1EB5D149"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02AA753" w14:textId="3F61F1C5"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B84EB82" w14:textId="254BA502"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205FBD7" w14:textId="1A9B5733"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46D0F2D" w14:textId="76EC0E68"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8F19C8C" w14:textId="480F8EEF"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7EB4C21" w14:textId="38D457A5"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5331D9F" w14:textId="55043DF1"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EC936F2" w14:textId="284DA713"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60F507B" w14:textId="548F4A96"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82D3669" w14:textId="198D0C6D"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3226080" w14:textId="68DD0376"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01DAB477" w14:textId="3E49F09A"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5A026B4" w14:textId="5BF9A14E"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2AE05FB" w14:textId="39281D1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2F0C9F4" w14:textId="7A80843B"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F5DCF89" w14:textId="3CEF773D"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9BE290A" w14:textId="1F394238"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2AE3329" w14:textId="1FED9D6A"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9BCA62C" w14:textId="553FEECD"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0B92264" w14:textId="296909BB"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DA715A3" w14:textId="10A06E4B"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5B3EA17" w14:textId="12287310"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34D2E649" w14:textId="19D93E36"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3E34603B" w14:textId="7A5C7D43"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493E7EA2" w14:textId="7D8CDA19"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1F97FBB4" w14:textId="249FDD5E"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23FC22BC" w14:textId="1ACD59FF"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53023AFE" w14:textId="179DF453"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21B2C3A9" w14:textId="6208E403"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0A203B15" w14:textId="11874F00"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0EEE7996" w14:textId="6DBB2703"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3FD48EC8" w14:textId="58766FB0"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52A79564" w14:textId="77777777" w:rsidR="00B556B1" w:rsidRDefault="00B556B1" w:rsidP="00834190">
      <w:pPr>
        <w:autoSpaceDE w:val="0"/>
        <w:autoSpaceDN w:val="0"/>
        <w:adjustRightInd w:val="0"/>
        <w:spacing w:after="0" w:line="240" w:lineRule="auto"/>
        <w:rPr>
          <w:rFonts w:ascii="Arial" w:hAnsi="Arial" w:cs="Arial"/>
          <w:bCs/>
          <w:color w:val="0D0D0D" w:themeColor="text1" w:themeTint="F2"/>
        </w:rPr>
      </w:pPr>
    </w:p>
    <w:p w14:paraId="0A6D4225"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DF1D340"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1D212D6"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8967201"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E55D930"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44A7938"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4A5FF1B"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8912673"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7DEE576"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B104D79" w14:textId="5B78E9EC"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8B2DE8F" w14:textId="1110F19D"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211C975" w14:textId="0F6A7AE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02F9AAE4" w14:textId="3F1D9E6E"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6E53C53E" w14:textId="1EC2BFDB"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3046F06D" w14:textId="2C826475"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2154B4B2" w14:textId="49A4E27C"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5591965F" w14:textId="4D42A6DC"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108126D" w14:textId="7DB7A487"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092FD372" w14:textId="0ACF6E65"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197A0B54"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sectPr w:rsidR="00756439" w:rsidSect="00756439">
          <w:type w:val="continuous"/>
          <w:pgSz w:w="11906" w:h="16838"/>
          <w:pgMar w:top="1440" w:right="1440" w:bottom="1440" w:left="1440" w:header="708" w:footer="708" w:gutter="0"/>
          <w:cols w:num="3" w:space="708"/>
          <w:docGrid w:linePitch="360"/>
        </w:sectPr>
      </w:pPr>
    </w:p>
    <w:p w14:paraId="52CAD216" w14:textId="22650B95"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429A4700" w14:textId="33A29076" w:rsidR="00756439" w:rsidRDefault="00756439" w:rsidP="00834190">
      <w:pPr>
        <w:autoSpaceDE w:val="0"/>
        <w:autoSpaceDN w:val="0"/>
        <w:adjustRightInd w:val="0"/>
        <w:spacing w:after="0" w:line="240" w:lineRule="auto"/>
        <w:rPr>
          <w:rFonts w:ascii="Arial" w:hAnsi="Arial" w:cs="Arial"/>
          <w:bCs/>
          <w:color w:val="0D0D0D" w:themeColor="text1" w:themeTint="F2"/>
        </w:rPr>
      </w:pPr>
    </w:p>
    <w:p w14:paraId="7E8CC0F3" w14:textId="77777777" w:rsidR="00756439" w:rsidRDefault="00756439" w:rsidP="00834190">
      <w:pPr>
        <w:autoSpaceDE w:val="0"/>
        <w:autoSpaceDN w:val="0"/>
        <w:adjustRightInd w:val="0"/>
        <w:spacing w:after="0" w:line="240" w:lineRule="auto"/>
        <w:rPr>
          <w:rFonts w:ascii="Arial" w:hAnsi="Arial" w:cs="Arial"/>
          <w:bCs/>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05"/>
        <w:gridCol w:w="3005"/>
        <w:gridCol w:w="3006"/>
      </w:tblGrid>
      <w:tr w:rsidR="0000318F" w14:paraId="362E6C5A" w14:textId="77777777" w:rsidTr="00AB10E9">
        <w:tc>
          <w:tcPr>
            <w:tcW w:w="3005" w:type="dxa"/>
          </w:tcPr>
          <w:p w14:paraId="52AEA21D" w14:textId="1145D581" w:rsidR="0000318F" w:rsidRPr="00756439" w:rsidRDefault="00D57B81" w:rsidP="00834190">
            <w:pPr>
              <w:autoSpaceDE w:val="0"/>
              <w:autoSpaceDN w:val="0"/>
              <w:adjustRightInd w:val="0"/>
              <w:rPr>
                <w:rFonts w:ascii="Arial" w:hAnsi="Arial" w:cs="Arial"/>
                <w:b/>
                <w:bCs/>
                <w:color w:val="0D0D0D" w:themeColor="text1" w:themeTint="F2"/>
              </w:rPr>
            </w:pPr>
            <w:r w:rsidRPr="00756439">
              <w:rPr>
                <w:rFonts w:ascii="Arial" w:hAnsi="Arial" w:cs="Arial"/>
                <w:b/>
                <w:bCs/>
                <w:color w:val="0D0D0D" w:themeColor="text1" w:themeTint="F2"/>
              </w:rPr>
              <w:t>Before the roundtable</w:t>
            </w:r>
          </w:p>
        </w:tc>
        <w:tc>
          <w:tcPr>
            <w:tcW w:w="3005" w:type="dxa"/>
          </w:tcPr>
          <w:p w14:paraId="108E1A04" w14:textId="6F47E6B4" w:rsidR="0000318F" w:rsidRPr="00756439" w:rsidRDefault="00756439" w:rsidP="00834190">
            <w:pPr>
              <w:autoSpaceDE w:val="0"/>
              <w:autoSpaceDN w:val="0"/>
              <w:adjustRightInd w:val="0"/>
              <w:rPr>
                <w:rFonts w:ascii="Arial" w:hAnsi="Arial" w:cs="Arial"/>
                <w:b/>
                <w:bCs/>
                <w:color w:val="0D0D0D" w:themeColor="text1" w:themeTint="F2"/>
              </w:rPr>
            </w:pPr>
            <w:r>
              <w:rPr>
                <w:rFonts w:ascii="Arial" w:hAnsi="Arial" w:cs="Arial"/>
                <w:b/>
                <w:bCs/>
                <w:color w:val="0D0D0D" w:themeColor="text1" w:themeTint="F2"/>
              </w:rPr>
              <w:t>At the roundtable</w:t>
            </w:r>
          </w:p>
        </w:tc>
        <w:tc>
          <w:tcPr>
            <w:tcW w:w="3006" w:type="dxa"/>
          </w:tcPr>
          <w:p w14:paraId="3688B903" w14:textId="4AC3F489" w:rsidR="0000318F" w:rsidRPr="00756439" w:rsidRDefault="00756439" w:rsidP="00834190">
            <w:pPr>
              <w:autoSpaceDE w:val="0"/>
              <w:autoSpaceDN w:val="0"/>
              <w:adjustRightInd w:val="0"/>
              <w:rPr>
                <w:rFonts w:ascii="Arial" w:hAnsi="Arial" w:cs="Arial"/>
                <w:b/>
                <w:bCs/>
                <w:color w:val="0D0D0D" w:themeColor="text1" w:themeTint="F2"/>
              </w:rPr>
            </w:pPr>
            <w:r>
              <w:rPr>
                <w:rFonts w:ascii="Arial" w:hAnsi="Arial" w:cs="Arial"/>
                <w:b/>
                <w:bCs/>
                <w:color w:val="0D0D0D" w:themeColor="text1" w:themeTint="F2"/>
              </w:rPr>
              <w:t>After the roun</w:t>
            </w:r>
            <w:r w:rsidR="00AB10E9">
              <w:rPr>
                <w:rFonts w:ascii="Arial" w:hAnsi="Arial" w:cs="Arial"/>
                <w:b/>
                <w:bCs/>
                <w:color w:val="0D0D0D" w:themeColor="text1" w:themeTint="F2"/>
              </w:rPr>
              <w:t>d</w:t>
            </w:r>
            <w:r>
              <w:rPr>
                <w:rFonts w:ascii="Arial" w:hAnsi="Arial" w:cs="Arial"/>
                <w:b/>
                <w:bCs/>
                <w:color w:val="0D0D0D" w:themeColor="text1" w:themeTint="F2"/>
              </w:rPr>
              <w:t>table</w:t>
            </w:r>
          </w:p>
        </w:tc>
      </w:tr>
      <w:tr w:rsidR="00756439" w14:paraId="60412E6F" w14:textId="77777777" w:rsidTr="00AB10E9">
        <w:tc>
          <w:tcPr>
            <w:tcW w:w="3005" w:type="dxa"/>
          </w:tcPr>
          <w:p w14:paraId="0E7918F5" w14:textId="0D3EEF26" w:rsidR="00756439" w:rsidRDefault="00756439" w:rsidP="00756439">
            <w:pPr>
              <w:autoSpaceDE w:val="0"/>
              <w:autoSpaceDN w:val="0"/>
              <w:adjustRightInd w:val="0"/>
              <w:rPr>
                <w:rFonts w:ascii="Arial" w:hAnsi="Arial" w:cs="Arial"/>
                <w:bCs/>
                <w:color w:val="0D0D0D" w:themeColor="text1" w:themeTint="F2"/>
              </w:rPr>
            </w:pPr>
            <w:r w:rsidRPr="00F85FA4">
              <w:rPr>
                <w:rFonts w:ascii="Arial" w:hAnsi="Arial" w:cs="Arial"/>
                <w:bCs/>
                <w:color w:val="0D0D0D" w:themeColor="text1" w:themeTint="F2"/>
              </w:rPr>
              <w:t>Identify a maximum of ten women to take part in the roundtable.</w:t>
            </w:r>
          </w:p>
        </w:tc>
        <w:tc>
          <w:tcPr>
            <w:tcW w:w="3005" w:type="dxa"/>
          </w:tcPr>
          <w:p w14:paraId="56BF269A" w14:textId="0C3D51C0" w:rsidR="00756439" w:rsidRDefault="0075643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Introduce yourself and your role as facilitator and introduce the notetaker.</w:t>
            </w:r>
          </w:p>
        </w:tc>
        <w:tc>
          <w:tcPr>
            <w:tcW w:w="3006" w:type="dxa"/>
          </w:tcPr>
          <w:p w14:paraId="7E38B33D" w14:textId="3E811760" w:rsidR="00756439" w:rsidRDefault="0075643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 xml:space="preserve">The facilitator will take </w:t>
            </w:r>
            <w:r w:rsidR="00AB10E9">
              <w:rPr>
                <w:rFonts w:ascii="Arial" w:hAnsi="Arial" w:cs="Arial"/>
                <w:bCs/>
                <w:color w:val="0D0D0D" w:themeColor="text1" w:themeTint="F2"/>
              </w:rPr>
              <w:t>circulate notes to all roundtable participants to agree amendments</w:t>
            </w:r>
          </w:p>
        </w:tc>
      </w:tr>
      <w:tr w:rsidR="00756439" w14:paraId="34A07CC6" w14:textId="77777777" w:rsidTr="00AB10E9">
        <w:tc>
          <w:tcPr>
            <w:tcW w:w="3005" w:type="dxa"/>
          </w:tcPr>
          <w:p w14:paraId="3D1E9AAD" w14:textId="2F1BB1A6" w:rsidR="00756439" w:rsidRDefault="00756439" w:rsidP="00756439">
            <w:pPr>
              <w:autoSpaceDE w:val="0"/>
              <w:autoSpaceDN w:val="0"/>
              <w:adjustRightInd w:val="0"/>
              <w:rPr>
                <w:rFonts w:ascii="Arial" w:hAnsi="Arial" w:cs="Arial"/>
                <w:bCs/>
                <w:color w:val="0D0D0D" w:themeColor="text1" w:themeTint="F2"/>
              </w:rPr>
            </w:pPr>
            <w:r w:rsidRPr="00F85FA4">
              <w:rPr>
                <w:rFonts w:ascii="Arial" w:hAnsi="Arial" w:cs="Arial"/>
                <w:bCs/>
                <w:color w:val="0D0D0D" w:themeColor="text1" w:themeTint="F2"/>
              </w:rPr>
              <w:t>Allow significant time to give your chosen participants/volunteers to prepare, asking for confirmation, and sending regular reminders</w:t>
            </w:r>
          </w:p>
        </w:tc>
        <w:tc>
          <w:tcPr>
            <w:tcW w:w="3005" w:type="dxa"/>
          </w:tcPr>
          <w:p w14:paraId="5A20AC8C" w14:textId="60CB81A2" w:rsidR="00756439" w:rsidRDefault="0075643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Explain the ground rules</w:t>
            </w:r>
            <w:r w:rsidR="00AB10E9">
              <w:rPr>
                <w:rFonts w:ascii="Arial" w:hAnsi="Arial" w:cs="Arial"/>
                <w:bCs/>
                <w:color w:val="0D0D0D" w:themeColor="text1" w:themeTint="F2"/>
              </w:rPr>
              <w:t>.</w:t>
            </w:r>
          </w:p>
        </w:tc>
        <w:tc>
          <w:tcPr>
            <w:tcW w:w="3006" w:type="dxa"/>
          </w:tcPr>
          <w:p w14:paraId="32885E90" w14:textId="71E3BDE9" w:rsidR="00756439" w:rsidRDefault="00AB10E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 xml:space="preserve">Within a fortnight from the date, the facilitator will share the notes and calls to action with the Society via: </w:t>
            </w:r>
            <w:hyperlink r:id="rId10" w:history="1">
              <w:r w:rsidRPr="001B3694">
                <w:rPr>
                  <w:rStyle w:val="Hyperlink"/>
                  <w:rFonts w:ascii="Arial" w:hAnsi="Arial" w:cs="Arial"/>
                  <w:bCs/>
                </w:rPr>
                <w:t>diversity@lawscot.org.uk</w:t>
              </w:r>
            </w:hyperlink>
            <w:r>
              <w:rPr>
                <w:rFonts w:ascii="Arial" w:hAnsi="Arial" w:cs="Arial"/>
                <w:bCs/>
                <w:color w:val="0D0D0D" w:themeColor="text1" w:themeTint="F2"/>
              </w:rPr>
              <w:t xml:space="preserve"> </w:t>
            </w:r>
          </w:p>
        </w:tc>
      </w:tr>
      <w:tr w:rsidR="00756439" w14:paraId="66001DEA" w14:textId="77777777" w:rsidTr="00AB10E9">
        <w:tc>
          <w:tcPr>
            <w:tcW w:w="3005" w:type="dxa"/>
          </w:tcPr>
          <w:p w14:paraId="713748B5" w14:textId="688CE107" w:rsidR="00756439" w:rsidRDefault="00756439" w:rsidP="00756439">
            <w:pPr>
              <w:autoSpaceDE w:val="0"/>
              <w:autoSpaceDN w:val="0"/>
              <w:adjustRightInd w:val="0"/>
              <w:rPr>
                <w:rFonts w:ascii="Arial" w:hAnsi="Arial" w:cs="Arial"/>
                <w:bCs/>
                <w:color w:val="0D0D0D" w:themeColor="text1" w:themeTint="F2"/>
              </w:rPr>
            </w:pPr>
            <w:r w:rsidRPr="00F85FA4">
              <w:rPr>
                <w:rFonts w:ascii="Arial" w:hAnsi="Arial" w:cs="Arial"/>
                <w:bCs/>
                <w:color w:val="0D0D0D" w:themeColor="text1" w:themeTint="F2"/>
              </w:rPr>
              <w:t>Identify a separate notetaker who will ensure that all notes are accurate, clear and comprehensive and subsequently returned to the Society.</w:t>
            </w:r>
          </w:p>
        </w:tc>
        <w:tc>
          <w:tcPr>
            <w:tcW w:w="3005" w:type="dxa"/>
          </w:tcPr>
          <w:p w14:paraId="70ED4B7A" w14:textId="375ACD86" w:rsidR="00756439" w:rsidRDefault="0075643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Inform about the process of taking notes and how they will be fed into the Society.</w:t>
            </w:r>
          </w:p>
        </w:tc>
        <w:tc>
          <w:tcPr>
            <w:tcW w:w="3006" w:type="dxa"/>
          </w:tcPr>
          <w:p w14:paraId="5A756DBF" w14:textId="4607A242" w:rsidR="00756439" w:rsidRDefault="00AB10E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Three months after the roundtable the facilitator will be contacted by the Society to find out about initial progress.</w:t>
            </w:r>
          </w:p>
        </w:tc>
      </w:tr>
      <w:tr w:rsidR="00756439" w14:paraId="024A50EA" w14:textId="77777777" w:rsidTr="00AB10E9">
        <w:tc>
          <w:tcPr>
            <w:tcW w:w="3005" w:type="dxa"/>
          </w:tcPr>
          <w:p w14:paraId="5A64EC0F" w14:textId="77E512FA" w:rsidR="00756439" w:rsidRDefault="0075643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 xml:space="preserve">Share the toolkit with the participants in advance of the roundtables and ask them </w:t>
            </w:r>
          </w:p>
          <w:p w14:paraId="19D222EF" w14:textId="4497177A" w:rsidR="00756439" w:rsidRDefault="00756439" w:rsidP="00756439">
            <w:pPr>
              <w:autoSpaceDE w:val="0"/>
              <w:autoSpaceDN w:val="0"/>
              <w:adjustRightInd w:val="0"/>
              <w:rPr>
                <w:rFonts w:ascii="Arial" w:hAnsi="Arial" w:cs="Arial"/>
                <w:bCs/>
                <w:color w:val="0D0D0D" w:themeColor="text1" w:themeTint="F2"/>
              </w:rPr>
            </w:pPr>
          </w:p>
        </w:tc>
        <w:tc>
          <w:tcPr>
            <w:tcW w:w="3005" w:type="dxa"/>
          </w:tcPr>
          <w:p w14:paraId="2D92DF47" w14:textId="6F0273BB" w:rsidR="00756439" w:rsidRDefault="0075643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Give participants the opportunity to introduce themselves.</w:t>
            </w:r>
          </w:p>
        </w:tc>
        <w:tc>
          <w:tcPr>
            <w:tcW w:w="3006" w:type="dxa"/>
          </w:tcPr>
          <w:p w14:paraId="768C5FF6" w14:textId="047ECA60" w:rsidR="00756439" w:rsidRDefault="00AB10E9"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The Society will collate all progress made by the groups and assess the level of impact made by each group and by individuals in their organisations and wider communities.</w:t>
            </w:r>
          </w:p>
        </w:tc>
      </w:tr>
      <w:tr w:rsidR="001F350F" w14:paraId="488AE9A9" w14:textId="77777777" w:rsidTr="00AB10E9">
        <w:tc>
          <w:tcPr>
            <w:tcW w:w="3005" w:type="dxa"/>
            <w:vMerge w:val="restart"/>
          </w:tcPr>
          <w:p w14:paraId="222F037B" w14:textId="4F3620B0" w:rsidR="001F350F" w:rsidRDefault="001F350F" w:rsidP="00756439">
            <w:pPr>
              <w:autoSpaceDE w:val="0"/>
              <w:autoSpaceDN w:val="0"/>
              <w:adjustRightInd w:val="0"/>
              <w:rPr>
                <w:rFonts w:ascii="Arial" w:hAnsi="Arial" w:cs="Arial"/>
                <w:bCs/>
                <w:color w:val="0D0D0D" w:themeColor="text1" w:themeTint="F2"/>
              </w:rPr>
            </w:pPr>
          </w:p>
        </w:tc>
        <w:tc>
          <w:tcPr>
            <w:tcW w:w="3005" w:type="dxa"/>
          </w:tcPr>
          <w:p w14:paraId="00A556E9" w14:textId="1206AE1F" w:rsidR="001F350F" w:rsidRDefault="001F350F"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Keep the discussion moving using the questions. Limit time where necessary.</w:t>
            </w:r>
            <w:r>
              <w:rPr>
                <w:rFonts w:ascii="Arial" w:hAnsi="Arial" w:cs="Arial"/>
                <w:bCs/>
                <w:color w:val="0D0D0D" w:themeColor="text1" w:themeTint="F2"/>
              </w:rPr>
              <w:br/>
            </w:r>
          </w:p>
        </w:tc>
        <w:tc>
          <w:tcPr>
            <w:tcW w:w="3006" w:type="dxa"/>
            <w:vMerge w:val="restart"/>
          </w:tcPr>
          <w:p w14:paraId="6203D839" w14:textId="66959291" w:rsidR="001F350F" w:rsidRDefault="001F350F" w:rsidP="00756439">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We strongly encourage you to send us a group photo from your meeting and evidence of change in action can also be sent to the Society.</w:t>
            </w:r>
          </w:p>
        </w:tc>
      </w:tr>
      <w:tr w:rsidR="001F350F" w14:paraId="3FC804A1" w14:textId="77777777" w:rsidTr="00AB10E9">
        <w:tc>
          <w:tcPr>
            <w:tcW w:w="3005" w:type="dxa"/>
            <w:vMerge/>
          </w:tcPr>
          <w:p w14:paraId="550E1753" w14:textId="77777777" w:rsidR="001F350F" w:rsidRDefault="001F350F" w:rsidP="00834190">
            <w:pPr>
              <w:autoSpaceDE w:val="0"/>
              <w:autoSpaceDN w:val="0"/>
              <w:adjustRightInd w:val="0"/>
              <w:rPr>
                <w:rFonts w:ascii="Arial" w:hAnsi="Arial" w:cs="Arial"/>
                <w:bCs/>
                <w:color w:val="0D0D0D" w:themeColor="text1" w:themeTint="F2"/>
              </w:rPr>
            </w:pPr>
          </w:p>
        </w:tc>
        <w:tc>
          <w:tcPr>
            <w:tcW w:w="3005" w:type="dxa"/>
          </w:tcPr>
          <w:p w14:paraId="6CDE6773" w14:textId="77777777" w:rsidR="001F350F" w:rsidRDefault="001F350F" w:rsidP="00834190">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Ensure that people are comfortable to ask questions, challenge issues and adopt a non-judgemental approach to fellow participant viewpoints.</w:t>
            </w:r>
          </w:p>
          <w:p w14:paraId="18A1BC12" w14:textId="255299AE" w:rsidR="001F350F" w:rsidRDefault="001F350F" w:rsidP="00834190">
            <w:pPr>
              <w:autoSpaceDE w:val="0"/>
              <w:autoSpaceDN w:val="0"/>
              <w:adjustRightInd w:val="0"/>
              <w:rPr>
                <w:rFonts w:ascii="Arial" w:hAnsi="Arial" w:cs="Arial"/>
                <w:bCs/>
                <w:color w:val="0D0D0D" w:themeColor="text1" w:themeTint="F2"/>
              </w:rPr>
            </w:pPr>
          </w:p>
        </w:tc>
        <w:tc>
          <w:tcPr>
            <w:tcW w:w="3006" w:type="dxa"/>
            <w:vMerge/>
          </w:tcPr>
          <w:p w14:paraId="0FB8CE1E" w14:textId="77777777" w:rsidR="001F350F" w:rsidRDefault="001F350F" w:rsidP="00834190">
            <w:pPr>
              <w:autoSpaceDE w:val="0"/>
              <w:autoSpaceDN w:val="0"/>
              <w:adjustRightInd w:val="0"/>
              <w:rPr>
                <w:rFonts w:ascii="Arial" w:hAnsi="Arial" w:cs="Arial"/>
                <w:bCs/>
                <w:color w:val="0D0D0D" w:themeColor="text1" w:themeTint="F2"/>
              </w:rPr>
            </w:pPr>
          </w:p>
        </w:tc>
      </w:tr>
      <w:tr w:rsidR="001F350F" w14:paraId="21759CF7" w14:textId="77777777" w:rsidTr="00AB10E9">
        <w:tc>
          <w:tcPr>
            <w:tcW w:w="3005" w:type="dxa"/>
            <w:vMerge/>
          </w:tcPr>
          <w:p w14:paraId="01701FCC" w14:textId="77777777" w:rsidR="001F350F" w:rsidRDefault="001F350F" w:rsidP="00834190">
            <w:pPr>
              <w:autoSpaceDE w:val="0"/>
              <w:autoSpaceDN w:val="0"/>
              <w:adjustRightInd w:val="0"/>
              <w:rPr>
                <w:rFonts w:ascii="Arial" w:hAnsi="Arial" w:cs="Arial"/>
                <w:bCs/>
                <w:color w:val="0D0D0D" w:themeColor="text1" w:themeTint="F2"/>
              </w:rPr>
            </w:pPr>
          </w:p>
        </w:tc>
        <w:tc>
          <w:tcPr>
            <w:tcW w:w="3005" w:type="dxa"/>
          </w:tcPr>
          <w:p w14:paraId="45807731" w14:textId="264F8970" w:rsidR="001F350F" w:rsidRDefault="001F350F" w:rsidP="00834190">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Make sure everyone has a chance to speak and that no one person dominates the discussions.</w:t>
            </w:r>
          </w:p>
        </w:tc>
        <w:tc>
          <w:tcPr>
            <w:tcW w:w="3006" w:type="dxa"/>
            <w:vMerge/>
          </w:tcPr>
          <w:p w14:paraId="6C695F30" w14:textId="77777777" w:rsidR="001F350F" w:rsidRDefault="001F350F" w:rsidP="00834190">
            <w:pPr>
              <w:autoSpaceDE w:val="0"/>
              <w:autoSpaceDN w:val="0"/>
              <w:adjustRightInd w:val="0"/>
              <w:rPr>
                <w:rFonts w:ascii="Arial" w:hAnsi="Arial" w:cs="Arial"/>
                <w:bCs/>
                <w:color w:val="0D0D0D" w:themeColor="text1" w:themeTint="F2"/>
              </w:rPr>
            </w:pPr>
          </w:p>
        </w:tc>
      </w:tr>
      <w:tr w:rsidR="001F350F" w14:paraId="7F2E4CFD" w14:textId="77777777" w:rsidTr="00AB10E9">
        <w:tc>
          <w:tcPr>
            <w:tcW w:w="3005" w:type="dxa"/>
            <w:vMerge/>
          </w:tcPr>
          <w:p w14:paraId="3E08AB5B" w14:textId="77777777" w:rsidR="001F350F" w:rsidRDefault="001F350F" w:rsidP="00834190">
            <w:pPr>
              <w:autoSpaceDE w:val="0"/>
              <w:autoSpaceDN w:val="0"/>
              <w:adjustRightInd w:val="0"/>
              <w:rPr>
                <w:rFonts w:ascii="Arial" w:hAnsi="Arial" w:cs="Arial"/>
                <w:bCs/>
                <w:color w:val="0D0D0D" w:themeColor="text1" w:themeTint="F2"/>
              </w:rPr>
            </w:pPr>
          </w:p>
        </w:tc>
        <w:tc>
          <w:tcPr>
            <w:tcW w:w="3005" w:type="dxa"/>
          </w:tcPr>
          <w:p w14:paraId="6DA2A111" w14:textId="760D5CF3" w:rsidR="001F350F" w:rsidRDefault="001F350F" w:rsidP="00834190">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Watch for non- verbal behaviour.</w:t>
            </w:r>
          </w:p>
        </w:tc>
        <w:tc>
          <w:tcPr>
            <w:tcW w:w="3006" w:type="dxa"/>
            <w:vMerge/>
          </w:tcPr>
          <w:p w14:paraId="1309EF4E" w14:textId="77777777" w:rsidR="001F350F" w:rsidRDefault="001F350F" w:rsidP="00834190">
            <w:pPr>
              <w:autoSpaceDE w:val="0"/>
              <w:autoSpaceDN w:val="0"/>
              <w:adjustRightInd w:val="0"/>
              <w:rPr>
                <w:rFonts w:ascii="Arial" w:hAnsi="Arial" w:cs="Arial"/>
                <w:bCs/>
                <w:color w:val="0D0D0D" w:themeColor="text1" w:themeTint="F2"/>
              </w:rPr>
            </w:pPr>
          </w:p>
        </w:tc>
      </w:tr>
      <w:tr w:rsidR="001F350F" w14:paraId="7D807540" w14:textId="77777777" w:rsidTr="00AB10E9">
        <w:tc>
          <w:tcPr>
            <w:tcW w:w="3005" w:type="dxa"/>
            <w:vMerge/>
          </w:tcPr>
          <w:p w14:paraId="6C7A9B0B" w14:textId="77777777" w:rsidR="001F350F" w:rsidRDefault="001F350F" w:rsidP="00834190">
            <w:pPr>
              <w:autoSpaceDE w:val="0"/>
              <w:autoSpaceDN w:val="0"/>
              <w:adjustRightInd w:val="0"/>
              <w:rPr>
                <w:rFonts w:ascii="Arial" w:hAnsi="Arial" w:cs="Arial"/>
                <w:bCs/>
                <w:color w:val="0D0D0D" w:themeColor="text1" w:themeTint="F2"/>
              </w:rPr>
            </w:pPr>
          </w:p>
        </w:tc>
        <w:tc>
          <w:tcPr>
            <w:tcW w:w="3005" w:type="dxa"/>
          </w:tcPr>
          <w:p w14:paraId="369ADAC0" w14:textId="4BE31C6F" w:rsidR="001F350F" w:rsidRDefault="001F350F" w:rsidP="00834190">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Try and end discussions on a high and remind the group of agreed actions.</w:t>
            </w:r>
          </w:p>
        </w:tc>
        <w:tc>
          <w:tcPr>
            <w:tcW w:w="3006" w:type="dxa"/>
            <w:vMerge/>
          </w:tcPr>
          <w:p w14:paraId="6DC6C500" w14:textId="77777777" w:rsidR="001F350F" w:rsidRDefault="001F350F" w:rsidP="00834190">
            <w:pPr>
              <w:autoSpaceDE w:val="0"/>
              <w:autoSpaceDN w:val="0"/>
              <w:adjustRightInd w:val="0"/>
              <w:rPr>
                <w:rFonts w:ascii="Arial" w:hAnsi="Arial" w:cs="Arial"/>
                <w:bCs/>
                <w:color w:val="0D0D0D" w:themeColor="text1" w:themeTint="F2"/>
              </w:rPr>
            </w:pPr>
          </w:p>
        </w:tc>
      </w:tr>
    </w:tbl>
    <w:p w14:paraId="15C57BA8" w14:textId="436E30C6" w:rsidR="00834190" w:rsidRDefault="00834190" w:rsidP="00834190">
      <w:pPr>
        <w:autoSpaceDE w:val="0"/>
        <w:autoSpaceDN w:val="0"/>
        <w:adjustRightInd w:val="0"/>
        <w:spacing w:after="0" w:line="240" w:lineRule="auto"/>
        <w:rPr>
          <w:rFonts w:ascii="Arial" w:hAnsi="Arial" w:cs="Arial"/>
          <w:bCs/>
          <w:color w:val="0D0D0D" w:themeColor="text1" w:themeTint="F2"/>
        </w:rPr>
      </w:pPr>
    </w:p>
    <w:p w14:paraId="56DAB142" w14:textId="77777777" w:rsidR="0000318F" w:rsidRDefault="0000318F" w:rsidP="00834190">
      <w:pPr>
        <w:autoSpaceDE w:val="0"/>
        <w:autoSpaceDN w:val="0"/>
        <w:adjustRightInd w:val="0"/>
        <w:spacing w:after="0" w:line="240" w:lineRule="auto"/>
        <w:rPr>
          <w:rFonts w:ascii="Arial" w:hAnsi="Arial" w:cs="Arial"/>
          <w:bCs/>
          <w:color w:val="0D0D0D" w:themeColor="text1" w:themeTint="F2"/>
        </w:rPr>
      </w:pPr>
    </w:p>
    <w:p w14:paraId="77045B65" w14:textId="03939C2A" w:rsidR="0000318F" w:rsidRDefault="0000318F" w:rsidP="00834190">
      <w:pPr>
        <w:autoSpaceDE w:val="0"/>
        <w:autoSpaceDN w:val="0"/>
        <w:adjustRightInd w:val="0"/>
        <w:spacing w:after="0" w:line="240" w:lineRule="auto"/>
        <w:rPr>
          <w:rFonts w:ascii="Arial" w:hAnsi="Arial" w:cs="Arial"/>
          <w:bCs/>
          <w:color w:val="0D0D0D" w:themeColor="text1" w:themeTint="F2"/>
        </w:rPr>
      </w:pPr>
    </w:p>
    <w:p w14:paraId="50DAB1C7" w14:textId="16AC33EB" w:rsidR="00B87918" w:rsidRDefault="00B87918" w:rsidP="00834190">
      <w:pPr>
        <w:autoSpaceDE w:val="0"/>
        <w:autoSpaceDN w:val="0"/>
        <w:adjustRightInd w:val="0"/>
        <w:spacing w:after="0" w:line="240" w:lineRule="auto"/>
        <w:rPr>
          <w:rFonts w:ascii="Arial" w:hAnsi="Arial" w:cs="Arial"/>
          <w:bCs/>
          <w:color w:val="0D0D0D" w:themeColor="text1" w:themeTint="F2"/>
        </w:rPr>
      </w:pPr>
    </w:p>
    <w:p w14:paraId="675069AD" w14:textId="12F3119A" w:rsidR="001F350F" w:rsidRDefault="001F350F" w:rsidP="00834190">
      <w:pPr>
        <w:autoSpaceDE w:val="0"/>
        <w:autoSpaceDN w:val="0"/>
        <w:adjustRightInd w:val="0"/>
        <w:spacing w:after="0" w:line="240" w:lineRule="auto"/>
        <w:rPr>
          <w:rFonts w:ascii="Arial" w:hAnsi="Arial" w:cs="Arial"/>
          <w:bCs/>
          <w:color w:val="0D0D0D" w:themeColor="text1" w:themeTint="F2"/>
        </w:rPr>
      </w:pPr>
    </w:p>
    <w:p w14:paraId="11F70F2C" w14:textId="77777777" w:rsidR="001F350F" w:rsidRDefault="001F350F" w:rsidP="00834190">
      <w:pPr>
        <w:autoSpaceDE w:val="0"/>
        <w:autoSpaceDN w:val="0"/>
        <w:adjustRightInd w:val="0"/>
        <w:spacing w:after="0" w:line="240" w:lineRule="auto"/>
        <w:rPr>
          <w:rFonts w:ascii="Arial" w:hAnsi="Arial" w:cs="Arial"/>
          <w:bCs/>
          <w:color w:val="0D0D0D" w:themeColor="text1" w:themeTint="F2"/>
        </w:rPr>
      </w:pPr>
    </w:p>
    <w:p w14:paraId="4DB04834" w14:textId="7ECEE467" w:rsidR="00B87918" w:rsidRDefault="00B87918" w:rsidP="00834190">
      <w:pPr>
        <w:autoSpaceDE w:val="0"/>
        <w:autoSpaceDN w:val="0"/>
        <w:adjustRightInd w:val="0"/>
        <w:spacing w:after="0" w:line="240" w:lineRule="auto"/>
        <w:rPr>
          <w:rFonts w:ascii="Arial" w:hAnsi="Arial" w:cs="Arial"/>
          <w:bCs/>
          <w:color w:val="0D0D0D" w:themeColor="text1" w:themeTint="F2"/>
        </w:rPr>
      </w:pPr>
    </w:p>
    <w:p w14:paraId="54258C82" w14:textId="7065B5EC" w:rsidR="00834190" w:rsidRDefault="00834190" w:rsidP="00834190">
      <w:pPr>
        <w:autoSpaceDE w:val="0"/>
        <w:autoSpaceDN w:val="0"/>
        <w:adjustRightInd w:val="0"/>
        <w:spacing w:after="0" w:line="240" w:lineRule="auto"/>
        <w:rPr>
          <w:rFonts w:ascii="Arial" w:hAnsi="Arial" w:cs="Arial"/>
          <w:b/>
          <w:bCs/>
          <w:color w:val="0D0D0D" w:themeColor="text1" w:themeTint="F2"/>
        </w:rPr>
      </w:pPr>
      <w:r>
        <w:rPr>
          <w:rFonts w:ascii="Arial" w:hAnsi="Arial" w:cs="Arial"/>
          <w:b/>
          <w:bCs/>
          <w:color w:val="0D0D0D" w:themeColor="text1" w:themeTint="F2"/>
        </w:rPr>
        <w:t xml:space="preserve">Roundtable structure </w:t>
      </w:r>
    </w:p>
    <w:p w14:paraId="09011127" w14:textId="08FBC6BC" w:rsidR="00B87918" w:rsidRDefault="00B87918" w:rsidP="00834190">
      <w:pPr>
        <w:autoSpaceDE w:val="0"/>
        <w:autoSpaceDN w:val="0"/>
        <w:adjustRightInd w:val="0"/>
        <w:spacing w:after="0" w:line="240" w:lineRule="auto"/>
        <w:rPr>
          <w:rFonts w:ascii="Arial" w:hAnsi="Arial" w:cs="Arial"/>
          <w:b/>
          <w:bCs/>
          <w:color w:val="0D0D0D" w:themeColor="text1" w:themeTint="F2"/>
        </w:rPr>
      </w:pPr>
    </w:p>
    <w:p w14:paraId="3E03CB4D" w14:textId="3B50B4EB" w:rsidR="00B87918" w:rsidRDefault="00B87918" w:rsidP="00834190">
      <w:pPr>
        <w:autoSpaceDE w:val="0"/>
        <w:autoSpaceDN w:val="0"/>
        <w:adjustRightInd w:val="0"/>
        <w:spacing w:after="0" w:line="240" w:lineRule="auto"/>
        <w:rPr>
          <w:rFonts w:ascii="Arial" w:hAnsi="Arial" w:cs="Arial"/>
          <w:bCs/>
          <w:color w:val="0D0D0D" w:themeColor="text1" w:themeTint="F2"/>
        </w:rPr>
      </w:pPr>
      <w:r w:rsidRPr="00B87918">
        <w:rPr>
          <w:rFonts w:ascii="Arial" w:hAnsi="Arial" w:cs="Arial"/>
          <w:bCs/>
          <w:color w:val="0D0D0D" w:themeColor="text1" w:themeTint="F2"/>
        </w:rPr>
        <w:t xml:space="preserve">We recommend holding a roundtable </w:t>
      </w:r>
      <w:r>
        <w:rPr>
          <w:rFonts w:ascii="Arial" w:hAnsi="Arial" w:cs="Arial"/>
          <w:bCs/>
          <w:color w:val="0D0D0D" w:themeColor="text1" w:themeTint="F2"/>
        </w:rPr>
        <w:t>for two hours. The recommended timetable and activities are as follows.</w:t>
      </w:r>
    </w:p>
    <w:p w14:paraId="223976F0" w14:textId="11948751" w:rsidR="00B87918" w:rsidRDefault="00B87918" w:rsidP="00834190">
      <w:pPr>
        <w:autoSpaceDE w:val="0"/>
        <w:autoSpaceDN w:val="0"/>
        <w:adjustRightInd w:val="0"/>
        <w:spacing w:after="0" w:line="240" w:lineRule="auto"/>
        <w:rPr>
          <w:rFonts w:ascii="Arial" w:hAnsi="Arial" w:cs="Arial"/>
          <w:bCs/>
          <w:color w:val="0D0D0D" w:themeColor="text1" w:themeTint="F2"/>
        </w:rPr>
      </w:pPr>
    </w:p>
    <w:p w14:paraId="77B9E309" w14:textId="2732F074" w:rsidR="00B87918" w:rsidRP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Welcome (facilitator) – five minutes</w:t>
      </w:r>
    </w:p>
    <w:p w14:paraId="683F5294" w14:textId="21DAC061"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Introduce yourself and your role</w:t>
      </w:r>
    </w:p>
    <w:p w14:paraId="60130BB3" w14:textId="12650FDB" w:rsidR="00B87918" w:rsidRDefault="00125762"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I</w:t>
      </w:r>
      <w:r w:rsidR="00B87918">
        <w:rPr>
          <w:rFonts w:ascii="Arial" w:hAnsi="Arial" w:cs="Arial"/>
          <w:bCs/>
          <w:color w:val="0D0D0D" w:themeColor="text1" w:themeTint="F2"/>
        </w:rPr>
        <w:t>ntroduce the notetaker and explain their role</w:t>
      </w:r>
    </w:p>
    <w:p w14:paraId="2C849392" w14:textId="7C9AF564"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Explain the background of the project and the purpose of the roundtables</w:t>
      </w:r>
    </w:p>
    <w:p w14:paraId="5FC50998" w14:textId="5E029389"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Outline ground rules and expectation for the meeting</w:t>
      </w:r>
    </w:p>
    <w:p w14:paraId="23E2CAC9" w14:textId="426C19FD"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Explain purpose and goal of the roundtable</w:t>
      </w:r>
    </w:p>
    <w:p w14:paraId="482DCA70" w14:textId="3FADD57F"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04759BA0" w14:textId="73922A49" w:rsidR="00B87918" w:rsidRP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Participants introductions – five minutes</w:t>
      </w:r>
    </w:p>
    <w:p w14:paraId="4D1A363B" w14:textId="37F36D73"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Each participant states their name and position</w:t>
      </w:r>
    </w:p>
    <w:p w14:paraId="10BA9A9D" w14:textId="3D600C83"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28CCC7C5" w14:textId="7E8C10D5" w:rsidR="00B87918" w:rsidRP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 xml:space="preserve">Group discussion on research findings – </w:t>
      </w:r>
      <w:r w:rsidR="00BE7542" w:rsidRPr="00125762">
        <w:rPr>
          <w:rFonts w:ascii="Arial" w:hAnsi="Arial" w:cs="Arial"/>
          <w:bCs/>
          <w:color w:val="0D0D0D" w:themeColor="text1" w:themeTint="F2"/>
        </w:rPr>
        <w:t>forty-five</w:t>
      </w:r>
      <w:r w:rsidRPr="00125762">
        <w:rPr>
          <w:rFonts w:ascii="Arial" w:hAnsi="Arial" w:cs="Arial"/>
          <w:bCs/>
          <w:color w:val="0D0D0D" w:themeColor="text1" w:themeTint="F2"/>
        </w:rPr>
        <w:t xml:space="preserve"> minutes</w:t>
      </w:r>
    </w:p>
    <w:p w14:paraId="20102F63" w14:textId="1E99219A"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Discuss the research questions allocating around 10 minutes for each question.</w:t>
      </w:r>
    </w:p>
    <w:p w14:paraId="73AADD25" w14:textId="7F3FF9F6"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54655E42" w14:textId="0A4230AF" w:rsidR="00B87918" w:rsidRP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Transition to discussion on key areas of action – five minutes</w:t>
      </w:r>
    </w:p>
    <w:p w14:paraId="2852582E" w14:textId="6120AF70"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Facilit</w:t>
      </w:r>
      <w:r w:rsidR="00125762">
        <w:rPr>
          <w:rFonts w:ascii="Arial" w:hAnsi="Arial" w:cs="Arial"/>
          <w:bCs/>
          <w:color w:val="0D0D0D" w:themeColor="text1" w:themeTint="F2"/>
        </w:rPr>
        <w:t>at</w:t>
      </w:r>
      <w:r>
        <w:rPr>
          <w:rFonts w:ascii="Arial" w:hAnsi="Arial" w:cs="Arial"/>
          <w:bCs/>
          <w:color w:val="0D0D0D" w:themeColor="text1" w:themeTint="F2"/>
        </w:rPr>
        <w:t>or to thank for insights offered and explain that the conversati</w:t>
      </w:r>
      <w:r w:rsidR="00125762">
        <w:rPr>
          <w:rFonts w:ascii="Arial" w:hAnsi="Arial" w:cs="Arial"/>
          <w:bCs/>
          <w:color w:val="0D0D0D" w:themeColor="text1" w:themeTint="F2"/>
        </w:rPr>
        <w:t>o</w:t>
      </w:r>
      <w:r>
        <w:rPr>
          <w:rFonts w:ascii="Arial" w:hAnsi="Arial" w:cs="Arial"/>
          <w:bCs/>
          <w:color w:val="0D0D0D" w:themeColor="text1" w:themeTint="F2"/>
        </w:rPr>
        <w:t>n will now move into ex</w:t>
      </w:r>
      <w:r w:rsidR="00125762">
        <w:rPr>
          <w:rFonts w:ascii="Arial" w:hAnsi="Arial" w:cs="Arial"/>
          <w:bCs/>
          <w:color w:val="0D0D0D" w:themeColor="text1" w:themeTint="F2"/>
        </w:rPr>
        <w:t>p</w:t>
      </w:r>
      <w:r>
        <w:rPr>
          <w:rFonts w:ascii="Arial" w:hAnsi="Arial" w:cs="Arial"/>
          <w:bCs/>
          <w:color w:val="0D0D0D" w:themeColor="text1" w:themeTint="F2"/>
        </w:rPr>
        <w:t>loring the tools and potential actions using the toolkit.</w:t>
      </w:r>
    </w:p>
    <w:p w14:paraId="3200A5A3" w14:textId="4828B991"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5D63CE75" w14:textId="178CD489" w:rsidR="00B87918" w:rsidRP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Group discussion on the toolkits on calls to action</w:t>
      </w:r>
    </w:p>
    <w:p w14:paraId="10C2561A" w14:textId="54B6F281"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The group or individuals may choose to focus on and commit to actioning one or more of the t</w:t>
      </w:r>
      <w:r w:rsidR="00125762">
        <w:rPr>
          <w:rFonts w:ascii="Arial" w:hAnsi="Arial" w:cs="Arial"/>
          <w:bCs/>
          <w:color w:val="0D0D0D" w:themeColor="text1" w:themeTint="F2"/>
        </w:rPr>
        <w:t>oolki</w:t>
      </w:r>
      <w:r>
        <w:rPr>
          <w:rFonts w:ascii="Arial" w:hAnsi="Arial" w:cs="Arial"/>
          <w:bCs/>
          <w:color w:val="0D0D0D" w:themeColor="text1" w:themeTint="F2"/>
        </w:rPr>
        <w:t>t tools, but ther</w:t>
      </w:r>
      <w:r w:rsidR="00125762">
        <w:rPr>
          <w:rFonts w:ascii="Arial" w:hAnsi="Arial" w:cs="Arial"/>
          <w:bCs/>
          <w:color w:val="0D0D0D" w:themeColor="text1" w:themeTint="F2"/>
        </w:rPr>
        <w:t xml:space="preserve">e </w:t>
      </w:r>
      <w:r>
        <w:rPr>
          <w:rFonts w:ascii="Arial" w:hAnsi="Arial" w:cs="Arial"/>
          <w:bCs/>
          <w:color w:val="0D0D0D" w:themeColor="text1" w:themeTint="F2"/>
        </w:rPr>
        <w:t xml:space="preserve">is no expectation that tanglibel solution will </w:t>
      </w:r>
    </w:p>
    <w:p w14:paraId="1871D371" w14:textId="689F30D4"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3E213658" w14:textId="4F737F20" w:rsidR="00B87918" w:rsidRP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Summarise key points and identify agreed actions – ten minutes</w:t>
      </w:r>
    </w:p>
    <w:p w14:paraId="1CE0D1C2" w14:textId="20CF8781" w:rsidR="00B87918"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The facilitator (with support f</w:t>
      </w:r>
      <w:r w:rsidR="00125762">
        <w:rPr>
          <w:rFonts w:ascii="Arial" w:hAnsi="Arial" w:cs="Arial"/>
          <w:bCs/>
          <w:color w:val="0D0D0D" w:themeColor="text1" w:themeTint="F2"/>
        </w:rPr>
        <w:t>rom</w:t>
      </w:r>
      <w:r>
        <w:rPr>
          <w:rFonts w:ascii="Arial" w:hAnsi="Arial" w:cs="Arial"/>
          <w:bCs/>
          <w:color w:val="0D0D0D" w:themeColor="text1" w:themeTint="F2"/>
        </w:rPr>
        <w:t xml:space="preserve"> the notetaker) summarises the key points which emerged during the discussion and confirmed the calls to action committed</w:t>
      </w:r>
      <w:r w:rsidR="00125762">
        <w:rPr>
          <w:rFonts w:ascii="Arial" w:hAnsi="Arial" w:cs="Arial"/>
          <w:bCs/>
          <w:color w:val="0D0D0D" w:themeColor="text1" w:themeTint="F2"/>
        </w:rPr>
        <w:t xml:space="preserve"> to.</w:t>
      </w:r>
    </w:p>
    <w:p w14:paraId="646A1FD8" w14:textId="7E9C0EA6"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1C89F47B" w14:textId="548E258C" w:rsidR="00125762" w:rsidRDefault="00B87918" w:rsidP="00125762">
      <w:pPr>
        <w:pStyle w:val="ListParagraph"/>
        <w:numPr>
          <w:ilvl w:val="0"/>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What happens next? – five minutes</w:t>
      </w:r>
    </w:p>
    <w:p w14:paraId="6C4342D9" w14:textId="77777777" w:rsidR="00125762" w:rsidRDefault="00125762" w:rsidP="00125762">
      <w:pPr>
        <w:pStyle w:val="ListParagraph"/>
        <w:autoSpaceDE w:val="0"/>
        <w:autoSpaceDN w:val="0"/>
        <w:adjustRightInd w:val="0"/>
        <w:spacing w:after="0" w:line="240" w:lineRule="auto"/>
        <w:rPr>
          <w:rFonts w:ascii="Arial" w:hAnsi="Arial" w:cs="Arial"/>
          <w:bCs/>
          <w:color w:val="0D0D0D" w:themeColor="text1" w:themeTint="F2"/>
        </w:rPr>
      </w:pPr>
    </w:p>
    <w:p w14:paraId="3612691D" w14:textId="38E1C1B6" w:rsidR="00B87918" w:rsidRPr="00125762" w:rsidRDefault="00B87918" w:rsidP="00125762">
      <w:pPr>
        <w:pStyle w:val="ListParagraph"/>
        <w:numPr>
          <w:ilvl w:val="1"/>
          <w:numId w:val="6"/>
        </w:numPr>
        <w:autoSpaceDE w:val="0"/>
        <w:autoSpaceDN w:val="0"/>
        <w:adjustRightInd w:val="0"/>
        <w:spacing w:after="0" w:line="240" w:lineRule="auto"/>
        <w:rPr>
          <w:rFonts w:ascii="Arial" w:hAnsi="Arial" w:cs="Arial"/>
          <w:bCs/>
          <w:color w:val="0D0D0D" w:themeColor="text1" w:themeTint="F2"/>
        </w:rPr>
      </w:pPr>
      <w:r w:rsidRPr="00125762">
        <w:rPr>
          <w:rFonts w:ascii="Arial" w:hAnsi="Arial" w:cs="Arial"/>
          <w:bCs/>
          <w:color w:val="0D0D0D" w:themeColor="text1" w:themeTint="F2"/>
        </w:rPr>
        <w:t xml:space="preserve">The facilitator reminds the group that the outcomes of the discussion will be fed back to the Society and that there will eb follow-up in </w:t>
      </w:r>
      <w:r w:rsidR="00BE7542" w:rsidRPr="00125762">
        <w:rPr>
          <w:rFonts w:ascii="Arial" w:hAnsi="Arial" w:cs="Arial"/>
          <w:bCs/>
          <w:color w:val="0D0D0D" w:themeColor="text1" w:themeTint="F2"/>
        </w:rPr>
        <w:t>three- and six-months’ time</w:t>
      </w:r>
      <w:r w:rsidRPr="00125762">
        <w:rPr>
          <w:rFonts w:ascii="Arial" w:hAnsi="Arial" w:cs="Arial"/>
          <w:bCs/>
          <w:color w:val="0D0D0D" w:themeColor="text1" w:themeTint="F2"/>
        </w:rPr>
        <w:t xml:space="preserve"> after the roundtable to follow-up on progress and to assess the level of impact made.</w:t>
      </w:r>
    </w:p>
    <w:p w14:paraId="5634B633" w14:textId="569B92FC"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2962B087" w14:textId="4A1B02DC"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09498745" w14:textId="64D71145"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29BE6E8B" w14:textId="09A3823F"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60C863C1" w14:textId="02A7DE26"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7D021505" w14:textId="53ED4A04"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513D6D45" w14:textId="3C95C689"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58EE40C6" w14:textId="4737BEF3"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40A55402" w14:textId="2194A180"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5E047DFF" w14:textId="6D6278F3"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75C6EFE5" w14:textId="6BEE1A80"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287B9983" w14:textId="28BCF78E" w:rsidR="00B87918" w:rsidRDefault="00B87918" w:rsidP="00B87918">
      <w:pPr>
        <w:autoSpaceDE w:val="0"/>
        <w:autoSpaceDN w:val="0"/>
        <w:adjustRightInd w:val="0"/>
        <w:spacing w:after="0" w:line="240" w:lineRule="auto"/>
        <w:rPr>
          <w:rFonts w:ascii="Arial" w:hAnsi="Arial" w:cs="Arial"/>
          <w:bCs/>
          <w:color w:val="0D0D0D" w:themeColor="text1" w:themeTint="F2"/>
        </w:rPr>
      </w:pPr>
    </w:p>
    <w:p w14:paraId="72E427AB" w14:textId="6479DE7D" w:rsidR="00B87918" w:rsidRPr="00FD122E" w:rsidRDefault="005A7AA5" w:rsidP="00B87918">
      <w:pPr>
        <w:autoSpaceDE w:val="0"/>
        <w:autoSpaceDN w:val="0"/>
        <w:adjustRightInd w:val="0"/>
        <w:spacing w:after="0" w:line="240" w:lineRule="auto"/>
        <w:rPr>
          <w:rFonts w:ascii="Arial" w:hAnsi="Arial" w:cs="Arial"/>
          <w:b/>
          <w:bCs/>
          <w:color w:val="0D0D0D" w:themeColor="text1" w:themeTint="F2"/>
        </w:rPr>
      </w:pPr>
      <w:r w:rsidRPr="00FD122E">
        <w:rPr>
          <w:rFonts w:ascii="Arial" w:hAnsi="Arial" w:cs="Arial"/>
          <w:b/>
          <w:bCs/>
          <w:color w:val="0D0D0D" w:themeColor="text1" w:themeTint="F2"/>
        </w:rPr>
        <w:t>Guiding questions</w:t>
      </w:r>
    </w:p>
    <w:p w14:paraId="70427E2E" w14:textId="1C9D8FA2" w:rsidR="00B87918" w:rsidRPr="00FD122E" w:rsidRDefault="00B87918" w:rsidP="00B87918">
      <w:pPr>
        <w:autoSpaceDE w:val="0"/>
        <w:autoSpaceDN w:val="0"/>
        <w:adjustRightInd w:val="0"/>
        <w:spacing w:after="0" w:line="240" w:lineRule="auto"/>
        <w:rPr>
          <w:rFonts w:ascii="Arial" w:hAnsi="Arial" w:cs="Arial"/>
          <w:bCs/>
          <w:color w:val="0D0D0D" w:themeColor="text1" w:themeTint="F2"/>
        </w:rPr>
      </w:pPr>
    </w:p>
    <w:p w14:paraId="639C0B26" w14:textId="30415399" w:rsidR="00B87918" w:rsidRPr="00FD122E" w:rsidRDefault="00B87918" w:rsidP="00B87918">
      <w:p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Have you faced challenges and identified solutions in the following areas?</w:t>
      </w:r>
    </w:p>
    <w:p w14:paraId="5507859C" w14:textId="77777777" w:rsidR="00B87918" w:rsidRPr="00FD122E" w:rsidRDefault="00B87918" w:rsidP="00B87918">
      <w:pPr>
        <w:autoSpaceDE w:val="0"/>
        <w:autoSpaceDN w:val="0"/>
        <w:adjustRightInd w:val="0"/>
        <w:spacing w:after="0" w:line="240" w:lineRule="auto"/>
        <w:rPr>
          <w:rFonts w:ascii="Arial" w:hAnsi="Arial" w:cs="Arial"/>
          <w:bCs/>
          <w:color w:val="0D0D0D" w:themeColor="text1" w:themeTint="F2"/>
        </w:rPr>
      </w:pPr>
    </w:p>
    <w:p w14:paraId="45AE8862" w14:textId="45993835" w:rsidR="00B87918" w:rsidRPr="00FD122E" w:rsidRDefault="00B87918" w:rsidP="00B87918">
      <w:pPr>
        <w:autoSpaceDE w:val="0"/>
        <w:autoSpaceDN w:val="0"/>
        <w:adjustRightInd w:val="0"/>
        <w:spacing w:after="0" w:line="240" w:lineRule="auto"/>
        <w:rPr>
          <w:rFonts w:ascii="Arial" w:hAnsi="Arial" w:cs="Arial"/>
          <w:b/>
          <w:bCs/>
          <w:color w:val="0D0D0D" w:themeColor="text1" w:themeTint="F2"/>
        </w:rPr>
      </w:pPr>
      <w:r w:rsidRPr="00FD122E">
        <w:rPr>
          <w:rFonts w:ascii="Arial" w:hAnsi="Arial" w:cs="Arial"/>
          <w:b/>
          <w:bCs/>
          <w:color w:val="0D0D0D" w:themeColor="text1" w:themeTint="F2"/>
        </w:rPr>
        <w:t>1. Unconscious bias</w:t>
      </w:r>
    </w:p>
    <w:p w14:paraId="220E159C" w14:textId="115FB8AC" w:rsidR="00B87918" w:rsidRPr="00FD122E" w:rsidRDefault="00B87918" w:rsidP="00B87918">
      <w:pPr>
        <w:autoSpaceDE w:val="0"/>
        <w:autoSpaceDN w:val="0"/>
        <w:adjustRightInd w:val="0"/>
        <w:spacing w:after="0" w:line="240" w:lineRule="auto"/>
        <w:rPr>
          <w:rFonts w:ascii="Arial" w:hAnsi="Arial" w:cs="Arial"/>
          <w:bCs/>
          <w:color w:val="0D0D0D" w:themeColor="text1" w:themeTint="F2"/>
        </w:rPr>
      </w:pPr>
    </w:p>
    <w:p w14:paraId="793C1E2C" w14:textId="2382122B" w:rsidR="005A7AA5" w:rsidRPr="00FD122E" w:rsidRDefault="00B87918" w:rsidP="00B87918">
      <w:pPr>
        <w:autoSpaceDE w:val="0"/>
        <w:autoSpaceDN w:val="0"/>
        <w:adjustRightInd w:val="0"/>
        <w:spacing w:after="0" w:line="240" w:lineRule="auto"/>
        <w:rPr>
          <w:rFonts w:ascii="Arial" w:hAnsi="Arial" w:cs="Arial"/>
        </w:rPr>
      </w:pPr>
      <w:r w:rsidRPr="00FD122E">
        <w:rPr>
          <w:rFonts w:ascii="Arial" w:hAnsi="Arial" w:cs="Arial"/>
          <w:bCs/>
          <w:color w:val="0D0D0D" w:themeColor="text1" w:themeTint="F2"/>
        </w:rPr>
        <w:t xml:space="preserve">The Society’s </w:t>
      </w:r>
      <w:r w:rsidRPr="00FD122E">
        <w:rPr>
          <w:rFonts w:ascii="Arial" w:hAnsi="Arial" w:cs="Arial"/>
          <w:bCs/>
          <w:i/>
          <w:color w:val="0D0D0D" w:themeColor="text1" w:themeTint="F2"/>
        </w:rPr>
        <w:t>Profile of the Profession</w:t>
      </w:r>
      <w:r w:rsidRPr="00FD122E">
        <w:rPr>
          <w:rFonts w:ascii="Arial" w:hAnsi="Arial" w:cs="Arial"/>
        </w:rPr>
        <w:t xml:space="preserve"> survey </w:t>
      </w:r>
      <w:r w:rsidR="005A7AA5" w:rsidRPr="00FD122E">
        <w:rPr>
          <w:rFonts w:ascii="Arial" w:hAnsi="Arial" w:cs="Arial"/>
        </w:rPr>
        <w:t>identified unconscious bias as a major barrier hindering the progression of women</w:t>
      </w:r>
      <w:r w:rsidR="00FD122E" w:rsidRPr="00FD122E">
        <w:rPr>
          <w:rFonts w:ascii="Arial" w:hAnsi="Arial" w:cs="Arial"/>
        </w:rPr>
        <w:t xml:space="preserve"> </w:t>
      </w:r>
      <w:r w:rsidR="005A7AA5" w:rsidRPr="00FD122E">
        <w:rPr>
          <w:rFonts w:ascii="Arial" w:hAnsi="Arial" w:cs="Arial"/>
        </w:rPr>
        <w:t>in the legal profession</w:t>
      </w:r>
      <w:r w:rsidR="00FD122E" w:rsidRPr="00FD122E">
        <w:rPr>
          <w:rFonts w:ascii="Arial" w:hAnsi="Arial" w:cs="Arial"/>
        </w:rPr>
        <w:t>.</w:t>
      </w:r>
    </w:p>
    <w:p w14:paraId="4FFFB3E4" w14:textId="1FA51B7B" w:rsidR="00FD122E" w:rsidRPr="00FD122E" w:rsidRDefault="00FD122E" w:rsidP="00B87918">
      <w:pPr>
        <w:autoSpaceDE w:val="0"/>
        <w:autoSpaceDN w:val="0"/>
        <w:adjustRightInd w:val="0"/>
        <w:spacing w:after="0" w:line="240" w:lineRule="auto"/>
        <w:rPr>
          <w:rFonts w:ascii="Arial" w:hAnsi="Arial" w:cs="Arial"/>
        </w:rPr>
      </w:pPr>
    </w:p>
    <w:p w14:paraId="1C1BF582" w14:textId="60614531" w:rsidR="00FD122E" w:rsidRPr="00FD122E" w:rsidRDefault="00FD122E" w:rsidP="00FD122E">
      <w:pPr>
        <w:pStyle w:val="ListParagraph"/>
        <w:numPr>
          <w:ilvl w:val="0"/>
          <w:numId w:val="7"/>
        </w:numPr>
        <w:autoSpaceDE w:val="0"/>
        <w:autoSpaceDN w:val="0"/>
        <w:adjustRightInd w:val="0"/>
        <w:spacing w:after="0" w:line="240" w:lineRule="auto"/>
        <w:rPr>
          <w:rFonts w:ascii="Arial" w:hAnsi="Arial" w:cs="Arial"/>
        </w:rPr>
      </w:pPr>
      <w:r w:rsidRPr="00FD122E">
        <w:rPr>
          <w:rFonts w:ascii="Arial" w:hAnsi="Arial" w:cs="Arial"/>
        </w:rPr>
        <w:t>Has your organisation implemented any specific action to tackle bias?</w:t>
      </w:r>
    </w:p>
    <w:p w14:paraId="0EA84C3C" w14:textId="177AE351" w:rsidR="00FD122E" w:rsidRPr="00FD122E" w:rsidRDefault="00FD122E" w:rsidP="00FD122E">
      <w:pPr>
        <w:pStyle w:val="ListParagraph"/>
        <w:numPr>
          <w:ilvl w:val="0"/>
          <w:numId w:val="7"/>
        </w:numPr>
        <w:autoSpaceDE w:val="0"/>
        <w:autoSpaceDN w:val="0"/>
        <w:adjustRightInd w:val="0"/>
        <w:spacing w:after="0" w:line="240" w:lineRule="auto"/>
        <w:rPr>
          <w:rFonts w:ascii="Arial" w:hAnsi="Arial" w:cs="Arial"/>
        </w:rPr>
      </w:pPr>
      <w:r w:rsidRPr="00FD122E">
        <w:rPr>
          <w:rFonts w:ascii="Arial" w:hAnsi="Arial" w:cs="Arial"/>
        </w:rPr>
        <w:t>Are you seeing any visible results?</w:t>
      </w:r>
    </w:p>
    <w:p w14:paraId="4F06F020" w14:textId="5836D2FE" w:rsidR="00B87918" w:rsidRPr="00FD122E" w:rsidRDefault="00B87918" w:rsidP="00B87918">
      <w:pPr>
        <w:autoSpaceDE w:val="0"/>
        <w:autoSpaceDN w:val="0"/>
        <w:adjustRightInd w:val="0"/>
        <w:spacing w:after="0" w:line="240" w:lineRule="auto"/>
        <w:rPr>
          <w:rFonts w:ascii="Arial" w:hAnsi="Arial" w:cs="Arial"/>
          <w:bCs/>
          <w:color w:val="0D0D0D" w:themeColor="text1" w:themeTint="F2"/>
        </w:rPr>
      </w:pPr>
    </w:p>
    <w:p w14:paraId="4A492C2B" w14:textId="7DF931DC" w:rsidR="00B87918" w:rsidRPr="00FD122E" w:rsidRDefault="00B87918" w:rsidP="00B87918">
      <w:pPr>
        <w:autoSpaceDE w:val="0"/>
        <w:autoSpaceDN w:val="0"/>
        <w:adjustRightInd w:val="0"/>
        <w:spacing w:after="0" w:line="240" w:lineRule="auto"/>
        <w:rPr>
          <w:rFonts w:ascii="Arial" w:hAnsi="Arial" w:cs="Arial"/>
          <w:b/>
          <w:bCs/>
          <w:color w:val="0D0D0D" w:themeColor="text1" w:themeTint="F2"/>
        </w:rPr>
      </w:pPr>
      <w:r w:rsidRPr="00FD122E">
        <w:rPr>
          <w:rFonts w:ascii="Arial" w:hAnsi="Arial" w:cs="Arial"/>
          <w:b/>
          <w:bCs/>
          <w:color w:val="0D0D0D" w:themeColor="text1" w:themeTint="F2"/>
        </w:rPr>
        <w:t xml:space="preserve">2. </w:t>
      </w:r>
      <w:r w:rsidR="005A7AA5" w:rsidRPr="00FD122E">
        <w:rPr>
          <w:rFonts w:ascii="Arial" w:hAnsi="Arial" w:cs="Arial"/>
          <w:b/>
          <w:bCs/>
          <w:color w:val="0D0D0D" w:themeColor="text1" w:themeTint="F2"/>
        </w:rPr>
        <w:t>Gender pay gap</w:t>
      </w:r>
    </w:p>
    <w:p w14:paraId="5BFABB62" w14:textId="3CF37F2F" w:rsidR="005A7AA5" w:rsidRPr="00FD122E" w:rsidRDefault="005A7AA5" w:rsidP="00B87918">
      <w:pPr>
        <w:autoSpaceDE w:val="0"/>
        <w:autoSpaceDN w:val="0"/>
        <w:adjustRightInd w:val="0"/>
        <w:spacing w:after="0" w:line="240" w:lineRule="auto"/>
        <w:rPr>
          <w:rFonts w:ascii="Arial" w:hAnsi="Arial" w:cs="Arial"/>
          <w:bCs/>
          <w:color w:val="0D0D0D" w:themeColor="text1" w:themeTint="F2"/>
        </w:rPr>
      </w:pPr>
    </w:p>
    <w:p w14:paraId="64630D15" w14:textId="116BBCD0" w:rsidR="005A7AA5" w:rsidRPr="00FD122E" w:rsidRDefault="005A7AA5" w:rsidP="00B87918">
      <w:p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The gender pay gap in the profession reporting rev</w:t>
      </w:r>
      <w:r w:rsidR="00FD122E" w:rsidRPr="00FD122E">
        <w:rPr>
          <w:rFonts w:ascii="Arial" w:hAnsi="Arial" w:cs="Arial"/>
          <w:bCs/>
          <w:color w:val="0D0D0D" w:themeColor="text1" w:themeTint="F2"/>
        </w:rPr>
        <w:t xml:space="preserve">ealed a significant gender pay gap. There has been progress in recent years. </w:t>
      </w:r>
      <w:r w:rsidR="00FD122E" w:rsidRPr="00FD122E">
        <w:rPr>
          <w:rFonts w:ascii="Arial" w:hAnsi="Arial" w:cs="Arial"/>
          <w:bCs/>
          <w:color w:val="0D0D0D" w:themeColor="text1" w:themeTint="F2"/>
        </w:rPr>
        <w:br/>
      </w:r>
    </w:p>
    <w:p w14:paraId="27AF6159" w14:textId="56CBD18A" w:rsidR="00FD122E" w:rsidRPr="00FD122E" w:rsidRDefault="00FD122E" w:rsidP="00FD122E">
      <w:pPr>
        <w:pStyle w:val="ListParagraph"/>
        <w:numPr>
          <w:ilvl w:val="0"/>
          <w:numId w:val="7"/>
        </w:num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Has your organisation identified tangible solutions? And are these working?</w:t>
      </w:r>
    </w:p>
    <w:p w14:paraId="5C9CF9A3" w14:textId="0D21C3ED" w:rsidR="005A7AA5" w:rsidRPr="00FD122E" w:rsidRDefault="005A7AA5" w:rsidP="00B87918">
      <w:pPr>
        <w:autoSpaceDE w:val="0"/>
        <w:autoSpaceDN w:val="0"/>
        <w:adjustRightInd w:val="0"/>
        <w:spacing w:after="0" w:line="240" w:lineRule="auto"/>
        <w:rPr>
          <w:rFonts w:ascii="Arial" w:hAnsi="Arial" w:cs="Arial"/>
          <w:bCs/>
          <w:color w:val="0D0D0D" w:themeColor="text1" w:themeTint="F2"/>
        </w:rPr>
      </w:pPr>
    </w:p>
    <w:p w14:paraId="6366092D" w14:textId="6432872D" w:rsidR="005A7AA5" w:rsidRPr="00FD122E" w:rsidRDefault="005A7AA5" w:rsidP="00B87918">
      <w:pPr>
        <w:autoSpaceDE w:val="0"/>
        <w:autoSpaceDN w:val="0"/>
        <w:adjustRightInd w:val="0"/>
        <w:spacing w:after="0" w:line="240" w:lineRule="auto"/>
        <w:rPr>
          <w:rFonts w:ascii="Arial" w:hAnsi="Arial" w:cs="Arial"/>
          <w:b/>
          <w:bCs/>
          <w:color w:val="0D0D0D" w:themeColor="text1" w:themeTint="F2"/>
        </w:rPr>
      </w:pPr>
      <w:r w:rsidRPr="00FD122E">
        <w:rPr>
          <w:rFonts w:ascii="Arial" w:hAnsi="Arial" w:cs="Arial"/>
          <w:b/>
          <w:bCs/>
          <w:color w:val="0D0D0D" w:themeColor="text1" w:themeTint="F2"/>
        </w:rPr>
        <w:t>3. Flexible working</w:t>
      </w:r>
    </w:p>
    <w:p w14:paraId="0178C6B5" w14:textId="7765BEA9" w:rsidR="00FD122E" w:rsidRPr="00FD122E" w:rsidRDefault="00FD122E" w:rsidP="00B87918">
      <w:p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br/>
        <w:t xml:space="preserve">A substantial majority of survey respondents agreed that a flexible working culture is critical to improving diversity in the </w:t>
      </w:r>
      <w:r w:rsidR="00BE7542" w:rsidRPr="00FD122E">
        <w:rPr>
          <w:rFonts w:ascii="Arial" w:hAnsi="Arial" w:cs="Arial"/>
          <w:bCs/>
          <w:color w:val="0D0D0D" w:themeColor="text1" w:themeTint="F2"/>
        </w:rPr>
        <w:t>profession,</w:t>
      </w:r>
      <w:r w:rsidRPr="00FD122E">
        <w:rPr>
          <w:rFonts w:ascii="Arial" w:hAnsi="Arial" w:cs="Arial"/>
          <w:bCs/>
          <w:color w:val="0D0D0D" w:themeColor="text1" w:themeTint="F2"/>
        </w:rPr>
        <w:t xml:space="preserve"> but the prevalence of flexible working seems to be falling.</w:t>
      </w:r>
      <w:r w:rsidRPr="00FD122E">
        <w:rPr>
          <w:rFonts w:ascii="Arial" w:hAnsi="Arial" w:cs="Arial"/>
          <w:bCs/>
          <w:color w:val="0D0D0D" w:themeColor="text1" w:themeTint="F2"/>
        </w:rPr>
        <w:br/>
      </w:r>
    </w:p>
    <w:p w14:paraId="49805576" w14:textId="54711562" w:rsidR="00FD122E" w:rsidRPr="00FD122E" w:rsidRDefault="00FD122E" w:rsidP="00FD122E">
      <w:pPr>
        <w:pStyle w:val="ListParagraph"/>
        <w:numPr>
          <w:ilvl w:val="0"/>
          <w:numId w:val="7"/>
        </w:num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Do you agree that flexible working helps?</w:t>
      </w:r>
    </w:p>
    <w:p w14:paraId="114E26D9" w14:textId="3BB78767" w:rsidR="00FD122E" w:rsidRPr="00FD122E" w:rsidRDefault="00FD122E" w:rsidP="00FD122E">
      <w:pPr>
        <w:pStyle w:val="ListParagraph"/>
        <w:numPr>
          <w:ilvl w:val="0"/>
          <w:numId w:val="7"/>
        </w:num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Has your organisation implemented flexible working?</w:t>
      </w:r>
    </w:p>
    <w:p w14:paraId="0AD24D11" w14:textId="1A956FAA" w:rsidR="00FD122E" w:rsidRPr="00FD122E" w:rsidRDefault="00FD122E" w:rsidP="00FD122E">
      <w:pPr>
        <w:pStyle w:val="ListParagraph"/>
        <w:numPr>
          <w:ilvl w:val="0"/>
          <w:numId w:val="7"/>
        </w:num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If so, are you facing challenges?</w:t>
      </w:r>
    </w:p>
    <w:p w14:paraId="71E98EC4" w14:textId="38B9CBF1" w:rsidR="00FD122E" w:rsidRPr="00FD122E" w:rsidRDefault="00FD122E" w:rsidP="00FD122E">
      <w:pPr>
        <w:autoSpaceDE w:val="0"/>
        <w:autoSpaceDN w:val="0"/>
        <w:adjustRightInd w:val="0"/>
        <w:spacing w:after="0" w:line="240" w:lineRule="auto"/>
        <w:rPr>
          <w:rFonts w:ascii="Arial" w:hAnsi="Arial" w:cs="Arial"/>
          <w:bCs/>
          <w:color w:val="0D0D0D" w:themeColor="text1" w:themeTint="F2"/>
        </w:rPr>
      </w:pPr>
    </w:p>
    <w:p w14:paraId="4AD1AB4D" w14:textId="27CD6FC9" w:rsidR="00FD122E" w:rsidRPr="00FD122E" w:rsidRDefault="00FD122E" w:rsidP="00FD122E">
      <w:pPr>
        <w:autoSpaceDE w:val="0"/>
        <w:autoSpaceDN w:val="0"/>
        <w:adjustRightInd w:val="0"/>
        <w:spacing w:after="0" w:line="240" w:lineRule="auto"/>
        <w:rPr>
          <w:rFonts w:ascii="Arial" w:hAnsi="Arial" w:cs="Arial"/>
          <w:b/>
          <w:bCs/>
          <w:color w:val="0D0D0D" w:themeColor="text1" w:themeTint="F2"/>
        </w:rPr>
      </w:pPr>
      <w:r w:rsidRPr="00FD122E">
        <w:rPr>
          <w:rFonts w:ascii="Arial" w:hAnsi="Arial" w:cs="Arial"/>
          <w:b/>
          <w:bCs/>
          <w:color w:val="0D0D0D" w:themeColor="text1" w:themeTint="F2"/>
        </w:rPr>
        <w:t>4. Bullying &amp; harassment</w:t>
      </w:r>
    </w:p>
    <w:p w14:paraId="79430BAD" w14:textId="0F464318" w:rsidR="00FD122E" w:rsidRPr="00FD122E" w:rsidRDefault="00FD122E" w:rsidP="00FD122E">
      <w:pPr>
        <w:autoSpaceDE w:val="0"/>
        <w:autoSpaceDN w:val="0"/>
        <w:adjustRightInd w:val="0"/>
        <w:spacing w:after="0" w:line="240" w:lineRule="auto"/>
        <w:rPr>
          <w:rFonts w:ascii="Arial" w:hAnsi="Arial" w:cs="Arial"/>
          <w:b/>
          <w:bCs/>
          <w:color w:val="0D0D0D" w:themeColor="text1" w:themeTint="F2"/>
        </w:rPr>
      </w:pPr>
    </w:p>
    <w:p w14:paraId="1588B7BA" w14:textId="68DE3F20" w:rsidR="00FD122E" w:rsidRPr="00FD122E" w:rsidRDefault="00FD122E" w:rsidP="00FD122E">
      <w:pPr>
        <w:autoSpaceDE w:val="0"/>
        <w:autoSpaceDN w:val="0"/>
        <w:adjustRightInd w:val="0"/>
        <w:spacing w:after="0" w:line="240" w:lineRule="auto"/>
        <w:rPr>
          <w:rFonts w:ascii="Arial" w:hAnsi="Arial" w:cs="Arial"/>
          <w:bCs/>
          <w:color w:val="0D0D0D" w:themeColor="text1" w:themeTint="F2"/>
        </w:rPr>
      </w:pPr>
      <w:r w:rsidRPr="00FD122E">
        <w:rPr>
          <w:rFonts w:ascii="Arial" w:hAnsi="Arial" w:cs="Arial"/>
          <w:bCs/>
          <w:color w:val="0D0D0D" w:themeColor="text1" w:themeTint="F2"/>
        </w:rPr>
        <w:t xml:space="preserve">A significant number of responses to our </w:t>
      </w:r>
      <w:r w:rsidRPr="00FD122E">
        <w:rPr>
          <w:rFonts w:ascii="Arial" w:hAnsi="Arial" w:cs="Arial"/>
          <w:bCs/>
          <w:i/>
          <w:color w:val="0D0D0D" w:themeColor="text1" w:themeTint="F2"/>
        </w:rPr>
        <w:t xml:space="preserve">Profile of the Profession </w:t>
      </w:r>
      <w:r w:rsidRPr="00FD122E">
        <w:rPr>
          <w:rFonts w:ascii="Arial" w:hAnsi="Arial" w:cs="Arial"/>
          <w:bCs/>
          <w:color w:val="0D0D0D" w:themeColor="text1" w:themeTint="F2"/>
        </w:rPr>
        <w:t>survey noted that they had suffered or witnessed bullying and harassment in the last five years.</w:t>
      </w:r>
    </w:p>
    <w:p w14:paraId="31288C36" w14:textId="7B97C86F" w:rsidR="00FD122E" w:rsidRPr="00FD122E" w:rsidRDefault="00FD122E" w:rsidP="00FD122E">
      <w:pPr>
        <w:autoSpaceDE w:val="0"/>
        <w:autoSpaceDN w:val="0"/>
        <w:adjustRightInd w:val="0"/>
        <w:spacing w:after="0" w:line="240" w:lineRule="auto"/>
        <w:rPr>
          <w:rFonts w:ascii="Arial" w:hAnsi="Arial" w:cs="Arial"/>
          <w:bCs/>
          <w:color w:val="0D0D0D" w:themeColor="text1" w:themeTint="F2"/>
        </w:rPr>
      </w:pPr>
    </w:p>
    <w:p w14:paraId="08F13BD8" w14:textId="4D3CE7BB" w:rsidR="00FD122E" w:rsidRDefault="00FD122E" w:rsidP="00FD122E">
      <w:pPr>
        <w:pStyle w:val="ListParagraph"/>
        <w:numPr>
          <w:ilvl w:val="0"/>
          <w:numId w:val="7"/>
        </w:numPr>
        <w:autoSpaceDE w:val="0"/>
        <w:autoSpaceDN w:val="0"/>
        <w:adjustRightInd w:val="0"/>
        <w:spacing w:after="0" w:line="240" w:lineRule="auto"/>
        <w:rPr>
          <w:rFonts w:ascii="Arial" w:hAnsi="Arial" w:cs="Arial"/>
        </w:rPr>
      </w:pPr>
      <w:r w:rsidRPr="00FD122E">
        <w:rPr>
          <w:rFonts w:ascii="Arial" w:hAnsi="Arial" w:cs="Arial"/>
        </w:rPr>
        <w:t>Has your organi</w:t>
      </w:r>
      <w:r>
        <w:rPr>
          <w:rFonts w:ascii="Arial" w:hAnsi="Arial" w:cs="Arial"/>
        </w:rPr>
        <w:t>sation</w:t>
      </w:r>
      <w:r w:rsidR="000B5841">
        <w:rPr>
          <w:rFonts w:ascii="Arial" w:hAnsi="Arial" w:cs="Arial"/>
        </w:rPr>
        <w:t xml:space="preserve"> bullying and harassment policies?</w:t>
      </w:r>
    </w:p>
    <w:p w14:paraId="3492D244" w14:textId="7E033C55" w:rsidR="000B5841" w:rsidRPr="00FD122E" w:rsidRDefault="000B5841" w:rsidP="00FD122E">
      <w:pPr>
        <w:pStyle w:val="ListParagraph"/>
        <w:numPr>
          <w:ilvl w:val="0"/>
          <w:numId w:val="7"/>
        </w:numPr>
        <w:autoSpaceDE w:val="0"/>
        <w:autoSpaceDN w:val="0"/>
        <w:adjustRightInd w:val="0"/>
        <w:spacing w:after="0" w:line="240" w:lineRule="auto"/>
        <w:rPr>
          <w:rFonts w:ascii="Arial" w:hAnsi="Arial" w:cs="Arial"/>
        </w:rPr>
      </w:pPr>
      <w:r>
        <w:rPr>
          <w:rFonts w:ascii="Arial" w:hAnsi="Arial" w:cs="Arial"/>
        </w:rPr>
        <w:t>How does your organisation deal with such issues?</w:t>
      </w:r>
    </w:p>
    <w:p w14:paraId="481596C7" w14:textId="7F4625C8" w:rsidR="00FD122E" w:rsidRDefault="00FD122E" w:rsidP="00FD122E">
      <w:pPr>
        <w:autoSpaceDE w:val="0"/>
        <w:autoSpaceDN w:val="0"/>
        <w:adjustRightInd w:val="0"/>
        <w:spacing w:after="0" w:line="240" w:lineRule="auto"/>
        <w:rPr>
          <w:rFonts w:ascii="Arial" w:hAnsi="Arial" w:cs="Arial"/>
          <w:bCs/>
          <w:color w:val="0D0D0D" w:themeColor="text1" w:themeTint="F2"/>
        </w:rPr>
      </w:pPr>
    </w:p>
    <w:p w14:paraId="4D221681" w14:textId="2FC632FF" w:rsidR="005A7AA5" w:rsidRPr="00125762" w:rsidRDefault="005A7AA5" w:rsidP="00B87918">
      <w:pPr>
        <w:autoSpaceDE w:val="0"/>
        <w:autoSpaceDN w:val="0"/>
        <w:adjustRightInd w:val="0"/>
        <w:spacing w:after="0" w:line="240" w:lineRule="auto"/>
        <w:rPr>
          <w:rFonts w:ascii="Arial" w:hAnsi="Arial" w:cs="Arial"/>
          <w:bCs/>
          <w:color w:val="0D0D0D" w:themeColor="text1" w:themeTint="F2"/>
        </w:rPr>
      </w:pPr>
    </w:p>
    <w:p w14:paraId="310A546C" w14:textId="74557911" w:rsidR="005A7AA5" w:rsidRPr="00125762" w:rsidRDefault="005A7AA5" w:rsidP="00B87918">
      <w:pPr>
        <w:autoSpaceDE w:val="0"/>
        <w:autoSpaceDN w:val="0"/>
        <w:adjustRightInd w:val="0"/>
        <w:spacing w:after="0" w:line="240" w:lineRule="auto"/>
        <w:rPr>
          <w:rFonts w:ascii="Arial" w:hAnsi="Arial" w:cs="Arial"/>
          <w:bCs/>
          <w:color w:val="0D0D0D" w:themeColor="text1" w:themeTint="F2"/>
        </w:rPr>
      </w:pPr>
    </w:p>
    <w:p w14:paraId="0E12661C" w14:textId="72E3E70F"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2C240EB4" w14:textId="7E54EABA"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1ABDCB86" w14:textId="7E358128"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65A8E58C" w14:textId="1B7B1C2E"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5CF4CEE6" w14:textId="36B2449E"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6FFF2CEC" w14:textId="2B6B5D89"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50F017BA" w14:textId="25CB14F0"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7AEEF0E8" w14:textId="3B9CFD8D"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10B7DB13" w14:textId="785C1B00"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0084CA90" w14:textId="015B97A9"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31D5DB5B" w14:textId="744CF06E"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46B0B09F" w14:textId="0374A15A"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094C1FED" w14:textId="57EB4E33" w:rsidR="00B87918" w:rsidRPr="005A7AA5" w:rsidRDefault="005A7AA5" w:rsidP="00B87918">
      <w:pPr>
        <w:autoSpaceDE w:val="0"/>
        <w:autoSpaceDN w:val="0"/>
        <w:adjustRightInd w:val="0"/>
        <w:spacing w:after="0" w:line="240" w:lineRule="auto"/>
        <w:rPr>
          <w:rFonts w:ascii="Arial" w:hAnsi="Arial" w:cs="Arial"/>
          <w:b/>
          <w:bCs/>
          <w:color w:val="0D0D0D" w:themeColor="text1" w:themeTint="F2"/>
        </w:rPr>
      </w:pPr>
      <w:r w:rsidRPr="005A7AA5">
        <w:rPr>
          <w:rFonts w:ascii="Arial" w:hAnsi="Arial" w:cs="Arial"/>
          <w:b/>
          <w:bCs/>
          <w:color w:val="0D0D0D" w:themeColor="text1" w:themeTint="F2"/>
        </w:rPr>
        <w:t>Calls to action</w:t>
      </w:r>
    </w:p>
    <w:p w14:paraId="5EEE6CCB" w14:textId="77777777"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0406AD71" w14:textId="27762489"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 xml:space="preserve">Once you have discussed the guiding questions on page </w:t>
      </w:r>
      <w:r w:rsidR="000B5841">
        <w:rPr>
          <w:rFonts w:ascii="Arial" w:hAnsi="Arial" w:cs="Arial"/>
          <w:bCs/>
          <w:color w:val="0D0D0D" w:themeColor="text1" w:themeTint="F2"/>
        </w:rPr>
        <w:t>5</w:t>
      </w:r>
      <w:r>
        <w:rPr>
          <w:rFonts w:ascii="Arial" w:hAnsi="Arial" w:cs="Arial"/>
          <w:bCs/>
          <w:color w:val="0D0D0D" w:themeColor="text1" w:themeTint="F2"/>
        </w:rPr>
        <w:t xml:space="preserve"> please us</w:t>
      </w:r>
      <w:r w:rsidR="000B5841">
        <w:rPr>
          <w:rFonts w:ascii="Arial" w:hAnsi="Arial" w:cs="Arial"/>
          <w:bCs/>
          <w:color w:val="0D0D0D" w:themeColor="text1" w:themeTint="F2"/>
        </w:rPr>
        <w:t>e</w:t>
      </w:r>
      <w:r>
        <w:rPr>
          <w:rFonts w:ascii="Arial" w:hAnsi="Arial" w:cs="Arial"/>
          <w:bCs/>
          <w:color w:val="0D0D0D" w:themeColor="text1" w:themeTint="F2"/>
        </w:rPr>
        <w:t xml:space="preserve"> the toolkit to discuss the priorities and actions that</w:t>
      </w:r>
      <w:r w:rsidR="000B5841">
        <w:rPr>
          <w:rFonts w:ascii="Arial" w:hAnsi="Arial" w:cs="Arial"/>
          <w:bCs/>
          <w:color w:val="0D0D0D" w:themeColor="text1" w:themeTint="F2"/>
        </w:rPr>
        <w:t xml:space="preserve"> </w:t>
      </w:r>
      <w:r>
        <w:rPr>
          <w:rFonts w:ascii="Arial" w:hAnsi="Arial" w:cs="Arial"/>
          <w:bCs/>
          <w:color w:val="0D0D0D" w:themeColor="text1" w:themeTint="F2"/>
        </w:rPr>
        <w:t>feel most relevant to your gr</w:t>
      </w:r>
      <w:r w:rsidR="000B5841">
        <w:rPr>
          <w:rFonts w:ascii="Arial" w:hAnsi="Arial" w:cs="Arial"/>
          <w:bCs/>
          <w:color w:val="0D0D0D" w:themeColor="text1" w:themeTint="F2"/>
        </w:rPr>
        <w:t>o</w:t>
      </w:r>
      <w:r>
        <w:rPr>
          <w:rFonts w:ascii="Arial" w:hAnsi="Arial" w:cs="Arial"/>
          <w:bCs/>
          <w:color w:val="0D0D0D" w:themeColor="text1" w:themeTint="F2"/>
        </w:rPr>
        <w:t>up and organisation</w:t>
      </w:r>
    </w:p>
    <w:p w14:paraId="069F87EF" w14:textId="77777777"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3438E583" w14:textId="77777777"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The toolkit contains guidance and resources to help you and thre group cover topic areas our research showed as being of key importance to help progress in the journey towards full gender quality.</w:t>
      </w:r>
    </w:p>
    <w:p w14:paraId="238FD927" w14:textId="77777777"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1CB89BA8" w14:textId="3F4A48E8"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1. Unconscious Bias (and other forms of bias)</w:t>
      </w:r>
      <w:r>
        <w:rPr>
          <w:rFonts w:ascii="Arial" w:hAnsi="Arial" w:cs="Arial"/>
          <w:bCs/>
          <w:color w:val="0D0D0D" w:themeColor="text1" w:themeTint="F2"/>
        </w:rPr>
        <w:br/>
      </w:r>
    </w:p>
    <w:p w14:paraId="1CE1535D" w14:textId="1FDBCF90"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 xml:space="preserve">2. Gender Pay Gap </w:t>
      </w:r>
      <w:r>
        <w:rPr>
          <w:rFonts w:ascii="Arial" w:hAnsi="Arial" w:cs="Arial"/>
          <w:bCs/>
          <w:color w:val="0D0D0D" w:themeColor="text1" w:themeTint="F2"/>
        </w:rPr>
        <w:br/>
      </w:r>
    </w:p>
    <w:p w14:paraId="00BB2FD4" w14:textId="1D7ECCC7"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3. Flexible working</w:t>
      </w:r>
    </w:p>
    <w:p w14:paraId="65BB29FA" w14:textId="2482B122"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44D219BA" w14:textId="15A95755"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 xml:space="preserve">4. </w:t>
      </w:r>
      <w:r w:rsidR="00B93CC9">
        <w:rPr>
          <w:rFonts w:ascii="Arial" w:hAnsi="Arial" w:cs="Arial"/>
          <w:bCs/>
          <w:color w:val="0D0D0D" w:themeColor="text1" w:themeTint="F2"/>
        </w:rPr>
        <w:t>bullying and harassment</w:t>
      </w:r>
    </w:p>
    <w:p w14:paraId="76FBC425" w14:textId="33A0B6CE"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3791BDF3" w14:textId="08476A19" w:rsidR="005A7AA5" w:rsidRDefault="005A7AA5" w:rsidP="00B87918">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 xml:space="preserve">5. </w:t>
      </w:r>
      <w:r w:rsidR="00B93CC9">
        <w:rPr>
          <w:rFonts w:ascii="Arial" w:hAnsi="Arial" w:cs="Arial"/>
          <w:bCs/>
          <w:color w:val="0D0D0D" w:themeColor="text1" w:themeTint="F2"/>
        </w:rPr>
        <w:t>Engaging men</w:t>
      </w:r>
    </w:p>
    <w:p w14:paraId="63AFC8D9" w14:textId="69B90A6A" w:rsidR="005A7AA5" w:rsidRDefault="005A7AA5" w:rsidP="00B87918">
      <w:pPr>
        <w:autoSpaceDE w:val="0"/>
        <w:autoSpaceDN w:val="0"/>
        <w:adjustRightInd w:val="0"/>
        <w:spacing w:after="0" w:line="240" w:lineRule="auto"/>
        <w:rPr>
          <w:rFonts w:ascii="Arial" w:hAnsi="Arial" w:cs="Arial"/>
          <w:bCs/>
          <w:color w:val="0D0D0D" w:themeColor="text1" w:themeTint="F2"/>
        </w:rPr>
      </w:pPr>
    </w:p>
    <w:p w14:paraId="6E51760C" w14:textId="4772E9C7" w:rsidR="00834190" w:rsidRDefault="005A7AA5" w:rsidP="005A7AA5">
      <w:pPr>
        <w:autoSpaceDE w:val="0"/>
        <w:autoSpaceDN w:val="0"/>
        <w:adjustRightInd w:val="0"/>
        <w:spacing w:after="0" w:line="240" w:lineRule="auto"/>
        <w:rPr>
          <w:rFonts w:ascii="Arial" w:hAnsi="Arial" w:cs="Arial"/>
          <w:bCs/>
          <w:color w:val="0D0D0D" w:themeColor="text1" w:themeTint="F2"/>
        </w:rPr>
      </w:pPr>
      <w:r w:rsidRPr="005A7AA5">
        <w:rPr>
          <w:rFonts w:ascii="Arial" w:hAnsi="Arial" w:cs="Arial"/>
          <w:bCs/>
          <w:color w:val="0D0D0D" w:themeColor="text1" w:themeTint="F2"/>
        </w:rPr>
        <w:t xml:space="preserve">All participants should feel free to choose one or </w:t>
      </w:r>
      <w:r w:rsidR="00BE7542" w:rsidRPr="005A7AA5">
        <w:rPr>
          <w:rFonts w:ascii="Arial" w:hAnsi="Arial" w:cs="Arial"/>
          <w:bCs/>
          <w:color w:val="0D0D0D" w:themeColor="text1" w:themeTint="F2"/>
        </w:rPr>
        <w:t>all</w:t>
      </w:r>
      <w:r w:rsidRPr="005A7AA5">
        <w:rPr>
          <w:rFonts w:ascii="Arial" w:hAnsi="Arial" w:cs="Arial"/>
          <w:bCs/>
          <w:color w:val="0D0D0D" w:themeColor="text1" w:themeTint="F2"/>
        </w:rPr>
        <w:t xml:space="preserve"> the too</w:t>
      </w:r>
      <w:r>
        <w:rPr>
          <w:rFonts w:ascii="Arial" w:hAnsi="Arial" w:cs="Arial"/>
          <w:bCs/>
          <w:color w:val="0D0D0D" w:themeColor="text1" w:themeTint="F2"/>
        </w:rPr>
        <w:t>lkit topics (or any part of the toolkit). We encourage everyone to commit to and implement at least one (and hopefully more!) tangible action within six months from the roundtable. Agreeing to tangible actions will help each roundtable group to be collectively accountable for the resulting positive change.</w:t>
      </w:r>
    </w:p>
    <w:p w14:paraId="277284EA" w14:textId="6F61CAFD"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15B53EC7" w14:textId="56E520A2" w:rsidR="005A7AA5" w:rsidRDefault="005A7AA5" w:rsidP="005A7AA5">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Individuals within the group may also want to commit to a specific action. This is entirely encouraged!</w:t>
      </w:r>
    </w:p>
    <w:p w14:paraId="2F21CCAE" w14:textId="3EB60348"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67A8B35A" w14:textId="68180DFF" w:rsidR="005A7AA5" w:rsidRDefault="005A7AA5" w:rsidP="005A7AA5">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Of course, the group may decide to focus on topics which have emerged for the first part of this discussion. This is fine but please keep us informed about you</w:t>
      </w:r>
      <w:r w:rsidR="00B93CC9">
        <w:rPr>
          <w:rFonts w:ascii="Arial" w:hAnsi="Arial" w:cs="Arial"/>
          <w:bCs/>
          <w:color w:val="0D0D0D" w:themeColor="text1" w:themeTint="F2"/>
        </w:rPr>
        <w:t>r</w:t>
      </w:r>
      <w:r>
        <w:rPr>
          <w:rFonts w:ascii="Arial" w:hAnsi="Arial" w:cs="Arial"/>
          <w:bCs/>
          <w:color w:val="0D0D0D" w:themeColor="text1" w:themeTint="F2"/>
        </w:rPr>
        <w:t xml:space="preserve"> efforts to help us identify other emerging trends and areas of action.</w:t>
      </w:r>
    </w:p>
    <w:p w14:paraId="79C1D0C5" w14:textId="1B732069"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2AAF25F3" w14:textId="0B149674" w:rsidR="005A7AA5" w:rsidRDefault="005A7AA5" w:rsidP="005A7AA5">
      <w:pPr>
        <w:autoSpaceDE w:val="0"/>
        <w:autoSpaceDN w:val="0"/>
        <w:adjustRightInd w:val="0"/>
        <w:spacing w:after="0" w:line="240" w:lineRule="auto"/>
        <w:rPr>
          <w:rFonts w:ascii="Arial" w:hAnsi="Arial" w:cs="Arial"/>
          <w:bCs/>
          <w:color w:val="0D0D0D" w:themeColor="text1" w:themeTint="F2"/>
        </w:rPr>
      </w:pPr>
      <w:r>
        <w:rPr>
          <w:rFonts w:ascii="Arial" w:hAnsi="Arial" w:cs="Arial"/>
          <w:bCs/>
          <w:color w:val="0D0D0D" w:themeColor="text1" w:themeTint="F2"/>
        </w:rPr>
        <w:t>Whilst the identity of roundtables will</w:t>
      </w:r>
      <w:r w:rsidR="00B93CC9">
        <w:rPr>
          <w:rFonts w:ascii="Arial" w:hAnsi="Arial" w:cs="Arial"/>
          <w:bCs/>
          <w:color w:val="0D0D0D" w:themeColor="text1" w:themeTint="F2"/>
        </w:rPr>
        <w:t xml:space="preserve"> be published through </w:t>
      </w:r>
      <w:r>
        <w:rPr>
          <w:rFonts w:ascii="Arial" w:hAnsi="Arial" w:cs="Arial"/>
          <w:bCs/>
          <w:color w:val="0D0D0D" w:themeColor="text1" w:themeTint="F2"/>
        </w:rPr>
        <w:t>the use of photos, their comments and feedback will not be att</w:t>
      </w:r>
      <w:r w:rsidR="00B93CC9">
        <w:rPr>
          <w:rFonts w:ascii="Arial" w:hAnsi="Arial" w:cs="Arial"/>
          <w:bCs/>
          <w:color w:val="0D0D0D" w:themeColor="text1" w:themeTint="F2"/>
        </w:rPr>
        <w:t>ri</w:t>
      </w:r>
      <w:r>
        <w:rPr>
          <w:rFonts w:ascii="Arial" w:hAnsi="Arial" w:cs="Arial"/>
          <w:bCs/>
          <w:color w:val="0D0D0D" w:themeColor="text1" w:themeTint="F2"/>
        </w:rPr>
        <w:t>buted to them or subsequently associated with the photo.</w:t>
      </w:r>
    </w:p>
    <w:p w14:paraId="551C5EC7" w14:textId="3C6CD38E"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35FCD191" w14:textId="3F007F7E"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1127DA1F" w14:textId="40E78678"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0D1E6DB5" w14:textId="63637080"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78DFBDBB" w14:textId="3A7EA9F7"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284B4C76" w14:textId="6BC11BA3"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6A4E3512" w14:textId="5556F34A"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03C0527A" w14:textId="0428B7B7"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291C8D19" w14:textId="475DB29A"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70999276" w14:textId="4E94B4DF"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39EBC087" w14:textId="2445DC01"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2715C77D" w14:textId="0992D7F0"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6172B746" w14:textId="08EDF544"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2BE6D658" w14:textId="51B9C0FD"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5E2D8DA3" w14:textId="149F9D5B"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4A645831" w14:textId="0698291E"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166E2B28" w14:textId="5C0EE614"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5079C2A1" w14:textId="6B010F57" w:rsidR="005A7AA5" w:rsidRPr="008A1C45" w:rsidRDefault="005A7AA5" w:rsidP="005A7AA5">
      <w:pPr>
        <w:autoSpaceDE w:val="0"/>
        <w:autoSpaceDN w:val="0"/>
        <w:adjustRightInd w:val="0"/>
        <w:spacing w:after="0" w:line="240" w:lineRule="auto"/>
        <w:rPr>
          <w:rFonts w:ascii="Arial" w:hAnsi="Arial" w:cs="Arial"/>
          <w:b/>
          <w:bCs/>
          <w:color w:val="0D0D0D" w:themeColor="text1" w:themeTint="F2"/>
        </w:rPr>
      </w:pPr>
      <w:r w:rsidRPr="008A1C45">
        <w:rPr>
          <w:rFonts w:ascii="Arial" w:hAnsi="Arial" w:cs="Arial"/>
          <w:b/>
          <w:bCs/>
          <w:color w:val="0D0D0D" w:themeColor="text1" w:themeTint="F2"/>
        </w:rPr>
        <w:t>APPENDIX</w:t>
      </w:r>
    </w:p>
    <w:p w14:paraId="22B65F96" w14:textId="77777777" w:rsidR="008A1C45" w:rsidRDefault="008A1C45" w:rsidP="005A7AA5">
      <w:pPr>
        <w:autoSpaceDE w:val="0"/>
        <w:autoSpaceDN w:val="0"/>
        <w:adjustRightInd w:val="0"/>
        <w:spacing w:after="0" w:line="240" w:lineRule="auto"/>
        <w:rPr>
          <w:rFonts w:ascii="Arial" w:hAnsi="Arial" w:cs="Arial"/>
          <w:bCs/>
          <w:color w:val="0D0D0D" w:themeColor="text1" w:themeTint="F2"/>
        </w:rPr>
      </w:pPr>
    </w:p>
    <w:p w14:paraId="09C43392" w14:textId="46FB105A" w:rsidR="005A7AA5" w:rsidRDefault="005A7AA5" w:rsidP="005A7AA5">
      <w:pPr>
        <w:autoSpaceDE w:val="0"/>
        <w:autoSpaceDN w:val="0"/>
        <w:adjustRightInd w:val="0"/>
        <w:spacing w:after="0" w:line="240" w:lineRule="auto"/>
        <w:rPr>
          <w:rFonts w:ascii="Arial" w:hAnsi="Arial" w:cs="Arial"/>
          <w:bCs/>
          <w:color w:val="0D0D0D" w:themeColor="text1" w:themeTint="F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3260"/>
        <w:gridCol w:w="3629"/>
      </w:tblGrid>
      <w:tr w:rsidR="005A7AA5" w14:paraId="5F1713CE" w14:textId="77777777" w:rsidTr="008A1C45">
        <w:tc>
          <w:tcPr>
            <w:tcW w:w="2127" w:type="dxa"/>
          </w:tcPr>
          <w:p w14:paraId="201C6B26" w14:textId="387D8235" w:rsidR="005A7AA5" w:rsidRPr="00756439" w:rsidRDefault="005A7AA5" w:rsidP="00685DB0">
            <w:pPr>
              <w:autoSpaceDE w:val="0"/>
              <w:autoSpaceDN w:val="0"/>
              <w:adjustRightInd w:val="0"/>
              <w:rPr>
                <w:rFonts w:ascii="Arial" w:hAnsi="Arial" w:cs="Arial"/>
                <w:b/>
                <w:bCs/>
                <w:color w:val="0D0D0D" w:themeColor="text1" w:themeTint="F2"/>
              </w:rPr>
            </w:pPr>
          </w:p>
        </w:tc>
        <w:tc>
          <w:tcPr>
            <w:tcW w:w="3260" w:type="dxa"/>
          </w:tcPr>
          <w:p w14:paraId="7D47440D" w14:textId="1416D30F" w:rsidR="005A7AA5" w:rsidRPr="00756439" w:rsidRDefault="005A7AA5" w:rsidP="00685DB0">
            <w:pPr>
              <w:autoSpaceDE w:val="0"/>
              <w:autoSpaceDN w:val="0"/>
              <w:adjustRightInd w:val="0"/>
              <w:rPr>
                <w:rFonts w:ascii="Arial" w:hAnsi="Arial" w:cs="Arial"/>
                <w:b/>
                <w:bCs/>
                <w:color w:val="0D0D0D" w:themeColor="text1" w:themeTint="F2"/>
              </w:rPr>
            </w:pPr>
            <w:r>
              <w:rPr>
                <w:rFonts w:ascii="Arial" w:hAnsi="Arial" w:cs="Arial"/>
                <w:b/>
                <w:bCs/>
                <w:color w:val="0D0D0D" w:themeColor="text1" w:themeTint="F2"/>
              </w:rPr>
              <w:t>Examples of barriers to progression</w:t>
            </w:r>
          </w:p>
        </w:tc>
        <w:tc>
          <w:tcPr>
            <w:tcW w:w="3629" w:type="dxa"/>
          </w:tcPr>
          <w:p w14:paraId="320AB038" w14:textId="68DA342D" w:rsidR="005A7AA5" w:rsidRPr="00756439" w:rsidRDefault="005A7AA5" w:rsidP="00685DB0">
            <w:pPr>
              <w:autoSpaceDE w:val="0"/>
              <w:autoSpaceDN w:val="0"/>
              <w:adjustRightInd w:val="0"/>
              <w:rPr>
                <w:rFonts w:ascii="Arial" w:hAnsi="Arial" w:cs="Arial"/>
                <w:b/>
                <w:bCs/>
                <w:color w:val="0D0D0D" w:themeColor="text1" w:themeTint="F2"/>
              </w:rPr>
            </w:pPr>
            <w:r>
              <w:rPr>
                <w:rFonts w:ascii="Arial" w:hAnsi="Arial" w:cs="Arial"/>
                <w:b/>
                <w:bCs/>
                <w:color w:val="0D0D0D" w:themeColor="text1" w:themeTint="F2"/>
              </w:rPr>
              <w:t>Examples of best practice solutions to barriers and measures of success</w:t>
            </w:r>
          </w:p>
        </w:tc>
      </w:tr>
      <w:tr w:rsidR="008A1C45" w14:paraId="3E0DCA2F" w14:textId="77777777" w:rsidTr="008A1C45">
        <w:tc>
          <w:tcPr>
            <w:tcW w:w="2127" w:type="dxa"/>
          </w:tcPr>
          <w:p w14:paraId="135FC046" w14:textId="2E7629F2" w:rsidR="008A1C45" w:rsidRDefault="008A1C45" w:rsidP="008A1C45">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Unconscious bias</w:t>
            </w:r>
          </w:p>
        </w:tc>
        <w:tc>
          <w:tcPr>
            <w:tcW w:w="3260" w:type="dxa"/>
          </w:tcPr>
          <w:p w14:paraId="7E951185" w14:textId="30131A6E"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2D909EC7" w14:textId="1A976BAC"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477648E" w14:textId="01970B41"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5B5FE943" w14:textId="67676415"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p>
        </w:tc>
        <w:tc>
          <w:tcPr>
            <w:tcW w:w="3629" w:type="dxa"/>
          </w:tcPr>
          <w:p w14:paraId="04B87609"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2ECA010" w14:textId="7B448278"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1FEE2523" w14:textId="06B29F7D"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9849326" w14:textId="19B15663"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tc>
      </w:tr>
      <w:tr w:rsidR="008A1C45" w14:paraId="0A317F27" w14:textId="77777777" w:rsidTr="008A1C45">
        <w:tc>
          <w:tcPr>
            <w:tcW w:w="2127" w:type="dxa"/>
          </w:tcPr>
          <w:p w14:paraId="32123B73" w14:textId="0084ACBE" w:rsidR="008A1C45" w:rsidRDefault="008A1C45" w:rsidP="008A1C45">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Gender pay gap</w:t>
            </w:r>
          </w:p>
        </w:tc>
        <w:tc>
          <w:tcPr>
            <w:tcW w:w="3260" w:type="dxa"/>
          </w:tcPr>
          <w:p w14:paraId="62AA6655"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3E24B37B"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21063F0A"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07F8479" w14:textId="39867264"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p>
        </w:tc>
        <w:tc>
          <w:tcPr>
            <w:tcW w:w="3629" w:type="dxa"/>
          </w:tcPr>
          <w:p w14:paraId="07AD35CF"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1AF5EB24"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30ABA89D" w14:textId="4068D7FD"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3709B354" w14:textId="7BE41C33"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tc>
      </w:tr>
      <w:tr w:rsidR="008A1C45" w14:paraId="248FCA77" w14:textId="77777777" w:rsidTr="008A1C45">
        <w:tc>
          <w:tcPr>
            <w:tcW w:w="2127" w:type="dxa"/>
          </w:tcPr>
          <w:p w14:paraId="27E7ADBF" w14:textId="49EC6703" w:rsidR="008A1C45" w:rsidRDefault="008A1C45" w:rsidP="008A1C45">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Flexible working</w:t>
            </w:r>
          </w:p>
        </w:tc>
        <w:tc>
          <w:tcPr>
            <w:tcW w:w="3260" w:type="dxa"/>
          </w:tcPr>
          <w:p w14:paraId="3EAEE262"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562FA7EF"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41A36F28" w14:textId="3928FDEA"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7E014329" w14:textId="55C26EBF"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tc>
        <w:tc>
          <w:tcPr>
            <w:tcW w:w="3629" w:type="dxa"/>
          </w:tcPr>
          <w:p w14:paraId="2BB61F0A"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4D1810D"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2A4A68A" w14:textId="23B3B503"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117A86BD" w14:textId="01888126"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tc>
      </w:tr>
      <w:tr w:rsidR="008A1C45" w14:paraId="58834F86" w14:textId="77777777" w:rsidTr="008A1C45">
        <w:tc>
          <w:tcPr>
            <w:tcW w:w="2127" w:type="dxa"/>
          </w:tcPr>
          <w:p w14:paraId="15BB16C6" w14:textId="006E4AA4" w:rsidR="008A1C45" w:rsidRDefault="008A1C45" w:rsidP="008A1C45">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Bullying, harassment and sexual harassment</w:t>
            </w:r>
          </w:p>
        </w:tc>
        <w:tc>
          <w:tcPr>
            <w:tcW w:w="3260" w:type="dxa"/>
          </w:tcPr>
          <w:p w14:paraId="3E4C62B0"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1372CCD0"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469956BA" w14:textId="48B7DFAC"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456574B5" w14:textId="68314E65"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p>
        </w:tc>
        <w:tc>
          <w:tcPr>
            <w:tcW w:w="3629" w:type="dxa"/>
          </w:tcPr>
          <w:p w14:paraId="1B2AB3A2"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503A07D8"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67B69B97" w14:textId="4C28D058"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603B283B" w14:textId="4FAE2B0E"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tc>
      </w:tr>
      <w:tr w:rsidR="008A1C45" w14:paraId="72B6186B" w14:textId="77777777" w:rsidTr="008A1C45">
        <w:tc>
          <w:tcPr>
            <w:tcW w:w="2127" w:type="dxa"/>
          </w:tcPr>
          <w:p w14:paraId="2EB58D9E" w14:textId="67FBE688" w:rsidR="008A1C45" w:rsidRDefault="008A1C45" w:rsidP="008A1C45">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t>Engaging men</w:t>
            </w:r>
          </w:p>
        </w:tc>
        <w:tc>
          <w:tcPr>
            <w:tcW w:w="3260" w:type="dxa"/>
          </w:tcPr>
          <w:p w14:paraId="4C20CBB5"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2133B96B"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0606B633" w14:textId="74152A34" w:rsidR="008A1C45" w:rsidRP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p>
        </w:tc>
        <w:tc>
          <w:tcPr>
            <w:tcW w:w="3629" w:type="dxa"/>
          </w:tcPr>
          <w:p w14:paraId="05274105"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4DF608CC"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72BC6BD9" w14:textId="77777777" w:rsidR="008A1C45" w:rsidRDefault="008A1C45" w:rsidP="008A1C45">
            <w:pPr>
              <w:pStyle w:val="ListParagraph"/>
              <w:numPr>
                <w:ilvl w:val="0"/>
                <w:numId w:val="5"/>
              </w:num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p w14:paraId="4A888729" w14:textId="418259B2" w:rsidR="008A1C45" w:rsidRDefault="008A1C45" w:rsidP="008A1C45">
            <w:pPr>
              <w:autoSpaceDE w:val="0"/>
              <w:autoSpaceDN w:val="0"/>
              <w:adjustRightInd w:val="0"/>
              <w:rPr>
                <w:rFonts w:ascii="Arial" w:hAnsi="Arial" w:cs="Arial"/>
                <w:bCs/>
                <w:color w:val="0D0D0D" w:themeColor="text1" w:themeTint="F2"/>
              </w:rPr>
            </w:pPr>
            <w:r>
              <w:rPr>
                <w:rFonts w:ascii="Arial" w:hAnsi="Arial" w:cs="Arial"/>
                <w:bCs/>
                <w:color w:val="0D0D0D" w:themeColor="text1" w:themeTint="F2"/>
              </w:rPr>
              <w:br/>
            </w:r>
          </w:p>
        </w:tc>
      </w:tr>
    </w:tbl>
    <w:p w14:paraId="534DAD9D" w14:textId="77777777"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660A4509" w14:textId="77777777" w:rsidR="005A7AA5" w:rsidRDefault="005A7AA5" w:rsidP="005A7AA5">
      <w:pPr>
        <w:autoSpaceDE w:val="0"/>
        <w:autoSpaceDN w:val="0"/>
        <w:adjustRightInd w:val="0"/>
        <w:spacing w:after="0" w:line="240" w:lineRule="auto"/>
        <w:rPr>
          <w:rFonts w:ascii="Arial" w:hAnsi="Arial" w:cs="Arial"/>
          <w:bCs/>
          <w:color w:val="0D0D0D" w:themeColor="text1" w:themeTint="F2"/>
        </w:rPr>
      </w:pPr>
    </w:p>
    <w:p w14:paraId="28AF1BE5" w14:textId="77777777" w:rsidR="005A7AA5" w:rsidRPr="005A7AA5" w:rsidRDefault="005A7AA5" w:rsidP="005A7AA5">
      <w:pPr>
        <w:autoSpaceDE w:val="0"/>
        <w:autoSpaceDN w:val="0"/>
        <w:adjustRightInd w:val="0"/>
        <w:spacing w:after="0" w:line="240" w:lineRule="auto"/>
        <w:rPr>
          <w:rFonts w:ascii="Arial" w:hAnsi="Arial" w:cs="Arial"/>
          <w:bCs/>
          <w:color w:val="0D0D0D" w:themeColor="text1" w:themeTint="F2"/>
        </w:rPr>
      </w:pPr>
    </w:p>
    <w:sectPr w:rsidR="005A7AA5" w:rsidRPr="005A7AA5" w:rsidSect="0075643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8D1E0" w14:textId="77777777" w:rsidR="005006BC" w:rsidRDefault="005006BC" w:rsidP="00817DEE">
      <w:pPr>
        <w:spacing w:after="0" w:line="240" w:lineRule="auto"/>
      </w:pPr>
      <w:r>
        <w:separator/>
      </w:r>
    </w:p>
  </w:endnote>
  <w:endnote w:type="continuationSeparator" w:id="0">
    <w:p w14:paraId="1BF3B5C0" w14:textId="77777777" w:rsidR="005006BC" w:rsidRDefault="005006BC" w:rsidP="00817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806579"/>
      <w:docPartObj>
        <w:docPartGallery w:val="Page Numbers (Bottom of Page)"/>
        <w:docPartUnique/>
      </w:docPartObj>
    </w:sdtPr>
    <w:sdtEndPr>
      <w:rPr>
        <w:noProof/>
      </w:rPr>
    </w:sdtEndPr>
    <w:sdtContent>
      <w:p w14:paraId="2228E91E" w14:textId="5EB02418" w:rsidR="005A7AA5" w:rsidRDefault="005A7A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2A3577" w14:textId="77777777" w:rsidR="005A7AA5" w:rsidRDefault="005A7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BD6AB" w14:textId="77777777" w:rsidR="005006BC" w:rsidRDefault="005006BC" w:rsidP="00817DEE">
      <w:pPr>
        <w:spacing w:after="0" w:line="240" w:lineRule="auto"/>
      </w:pPr>
      <w:r>
        <w:separator/>
      </w:r>
    </w:p>
  </w:footnote>
  <w:footnote w:type="continuationSeparator" w:id="0">
    <w:p w14:paraId="1254083F" w14:textId="77777777" w:rsidR="005006BC" w:rsidRDefault="005006BC" w:rsidP="00817DEE">
      <w:pPr>
        <w:spacing w:after="0" w:line="240" w:lineRule="auto"/>
      </w:pPr>
      <w:r>
        <w:continuationSeparator/>
      </w:r>
    </w:p>
  </w:footnote>
  <w:footnote w:id="1">
    <w:p w14:paraId="69060E43" w14:textId="115C53E1" w:rsidR="00817DEE" w:rsidRDefault="00817DEE">
      <w:pPr>
        <w:pStyle w:val="FootnoteText"/>
      </w:pPr>
      <w:r>
        <w:rPr>
          <w:rStyle w:val="FootnoteReference"/>
        </w:rPr>
        <w:footnoteRef/>
      </w:r>
      <w:r>
        <w:t xml:space="preserve"> </w:t>
      </w:r>
      <w:hyperlink r:id="rId1" w:history="1">
        <w:r w:rsidRPr="001B3694">
          <w:rPr>
            <w:rStyle w:val="Hyperlink"/>
          </w:rPr>
          <w:t>https://www.chathamhouse.org/chatham-house-rule</w:t>
        </w:r>
      </w:hyperlink>
      <w:r>
        <w:t xml:space="preserve"> </w:t>
      </w:r>
    </w:p>
  </w:footnote>
  <w:footnote w:id="2">
    <w:p w14:paraId="4A13B4E0" w14:textId="59FADF6A" w:rsidR="00817DEE" w:rsidRDefault="00817DEE">
      <w:pPr>
        <w:pStyle w:val="FootnoteText"/>
      </w:pPr>
      <w:r>
        <w:rPr>
          <w:rStyle w:val="FootnoteReference"/>
        </w:rPr>
        <w:footnoteRef/>
      </w:r>
      <w:r>
        <w:t xml:space="preserve"> </w:t>
      </w:r>
      <w:hyperlink r:id="rId2" w:history="1">
        <w:r w:rsidRPr="001B3694">
          <w:rPr>
            <w:rStyle w:val="Hyperlink"/>
          </w:rPr>
          <w:t>https://www.lawscot.org.uk/media/361498/lss-pop-report-final-december-2018.pdf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1F12" w14:textId="77777777" w:rsidR="000D52F1" w:rsidRDefault="000D52F1">
    <w:pPr>
      <w:pStyle w:val="Header"/>
      <w:rPr>
        <w:noProof/>
      </w:rPr>
    </w:pPr>
  </w:p>
  <w:p w14:paraId="4832B60C" w14:textId="174B6A6E" w:rsidR="000D52F1" w:rsidRDefault="000D52F1">
    <w:pPr>
      <w:pStyle w:val="Header"/>
    </w:pPr>
    <w:r>
      <w:rPr>
        <w:noProof/>
      </w:rPr>
      <w:drawing>
        <wp:inline distT="0" distB="0" distL="0" distR="0" wp14:anchorId="415064E7" wp14:editId="3D39A315">
          <wp:extent cx="2046906"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w-Society-platinum.jpg"/>
                  <pic:cNvPicPr/>
                </pic:nvPicPr>
                <pic:blipFill rotWithShape="1">
                  <a:blip r:embed="rId1">
                    <a:extLst>
                      <a:ext uri="{28A0092B-C50C-407E-A947-70E740481C1C}">
                        <a14:useLocalDpi xmlns:a14="http://schemas.microsoft.com/office/drawing/2010/main" val="0"/>
                      </a:ext>
                    </a:extLst>
                  </a:blip>
                  <a:srcRect l="3929" t="8089" r="4285" b="8823"/>
                  <a:stretch/>
                </pic:blipFill>
                <pic:spPr bwMode="auto">
                  <a:xfrm>
                    <a:off x="0" y="0"/>
                    <a:ext cx="2046906" cy="900000"/>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0E52D2EB" wp14:editId="47933046">
          <wp:extent cx="1162163"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years-platinum.jpg"/>
                  <pic:cNvPicPr/>
                </pic:nvPicPr>
                <pic:blipFill rotWithShape="1">
                  <a:blip r:embed="rId2">
                    <a:extLst>
                      <a:ext uri="{28A0092B-C50C-407E-A947-70E740481C1C}">
                        <a14:useLocalDpi xmlns:a14="http://schemas.microsoft.com/office/drawing/2010/main" val="0"/>
                      </a:ext>
                    </a:extLst>
                  </a:blip>
                  <a:srcRect l="1" t="10392" r="6438" b="7230"/>
                  <a:stretch/>
                </pic:blipFill>
                <pic:spPr bwMode="auto">
                  <a:xfrm>
                    <a:off x="0" y="0"/>
                    <a:ext cx="1162163" cy="90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014"/>
    <w:multiLevelType w:val="hybridMultilevel"/>
    <w:tmpl w:val="B3EAA98A"/>
    <w:lvl w:ilvl="0" w:tplc="A5D44C38">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EF4252"/>
    <w:multiLevelType w:val="hybridMultilevel"/>
    <w:tmpl w:val="E6FCFD4E"/>
    <w:lvl w:ilvl="0" w:tplc="5E64873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A641AA"/>
    <w:multiLevelType w:val="hybridMultilevel"/>
    <w:tmpl w:val="C074D5FC"/>
    <w:lvl w:ilvl="0" w:tplc="A5D44C38">
      <w:start w:val="1"/>
      <w:numFmt w:val="bullet"/>
      <w:lvlText w:val="-"/>
      <w:lvlJc w:val="left"/>
      <w:pPr>
        <w:ind w:left="1080" w:hanging="360"/>
      </w:pPr>
      <w:rPr>
        <w:rFonts w:ascii="Arial" w:eastAsiaTheme="minorHAnsi"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D56292C"/>
    <w:multiLevelType w:val="hybridMultilevel"/>
    <w:tmpl w:val="AEA45084"/>
    <w:lvl w:ilvl="0" w:tplc="BBD8C5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3E10A3"/>
    <w:multiLevelType w:val="hybridMultilevel"/>
    <w:tmpl w:val="08ACF7F6"/>
    <w:lvl w:ilvl="0" w:tplc="9594ECB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6C0793"/>
    <w:multiLevelType w:val="hybridMultilevel"/>
    <w:tmpl w:val="750823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6F3391"/>
    <w:multiLevelType w:val="hybridMultilevel"/>
    <w:tmpl w:val="959E7B5E"/>
    <w:lvl w:ilvl="0" w:tplc="67D01930">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90"/>
    <w:rsid w:val="0000318F"/>
    <w:rsid w:val="00024F97"/>
    <w:rsid w:val="00061090"/>
    <w:rsid w:val="000B5841"/>
    <w:rsid w:val="000D52F1"/>
    <w:rsid w:val="00125762"/>
    <w:rsid w:val="001F350F"/>
    <w:rsid w:val="002F5E42"/>
    <w:rsid w:val="00337E58"/>
    <w:rsid w:val="004D19BF"/>
    <w:rsid w:val="005006BC"/>
    <w:rsid w:val="0050108E"/>
    <w:rsid w:val="005A7AA5"/>
    <w:rsid w:val="007558DD"/>
    <w:rsid w:val="00756439"/>
    <w:rsid w:val="00817DEE"/>
    <w:rsid w:val="00834190"/>
    <w:rsid w:val="00840C4A"/>
    <w:rsid w:val="008A1C45"/>
    <w:rsid w:val="0096789F"/>
    <w:rsid w:val="009B0282"/>
    <w:rsid w:val="009B6B46"/>
    <w:rsid w:val="00AB10E9"/>
    <w:rsid w:val="00B556B1"/>
    <w:rsid w:val="00B85E2C"/>
    <w:rsid w:val="00B87918"/>
    <w:rsid w:val="00B93CC9"/>
    <w:rsid w:val="00BE7542"/>
    <w:rsid w:val="00D57B81"/>
    <w:rsid w:val="00D73892"/>
    <w:rsid w:val="00DA635D"/>
    <w:rsid w:val="00DB0813"/>
    <w:rsid w:val="00F96F73"/>
    <w:rsid w:val="00FD1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8896C"/>
  <w15:chartTrackingRefBased/>
  <w15:docId w15:val="{50354A90-792A-4B70-9C53-FC394FA7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190"/>
    <w:pPr>
      <w:ind w:left="720"/>
      <w:contextualSpacing/>
    </w:pPr>
  </w:style>
  <w:style w:type="paragraph" w:styleId="BalloonText">
    <w:name w:val="Balloon Text"/>
    <w:basedOn w:val="Normal"/>
    <w:link w:val="BalloonTextChar"/>
    <w:uiPriority w:val="99"/>
    <w:semiHidden/>
    <w:unhideWhenUsed/>
    <w:rsid w:val="00DB08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813"/>
    <w:rPr>
      <w:rFonts w:ascii="Segoe UI" w:hAnsi="Segoe UI" w:cs="Segoe UI"/>
      <w:sz w:val="18"/>
      <w:szCs w:val="18"/>
    </w:rPr>
  </w:style>
  <w:style w:type="paragraph" w:styleId="FootnoteText">
    <w:name w:val="footnote text"/>
    <w:basedOn w:val="Normal"/>
    <w:link w:val="FootnoteTextChar"/>
    <w:uiPriority w:val="99"/>
    <w:semiHidden/>
    <w:unhideWhenUsed/>
    <w:rsid w:val="00817D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7DEE"/>
    <w:rPr>
      <w:sz w:val="20"/>
      <w:szCs w:val="20"/>
    </w:rPr>
  </w:style>
  <w:style w:type="character" w:styleId="FootnoteReference">
    <w:name w:val="footnote reference"/>
    <w:basedOn w:val="DefaultParagraphFont"/>
    <w:uiPriority w:val="99"/>
    <w:semiHidden/>
    <w:unhideWhenUsed/>
    <w:rsid w:val="00817DEE"/>
    <w:rPr>
      <w:vertAlign w:val="superscript"/>
    </w:rPr>
  </w:style>
  <w:style w:type="character" w:styleId="Hyperlink">
    <w:name w:val="Hyperlink"/>
    <w:basedOn w:val="DefaultParagraphFont"/>
    <w:uiPriority w:val="99"/>
    <w:unhideWhenUsed/>
    <w:rsid w:val="00817DEE"/>
    <w:rPr>
      <w:color w:val="0563C1" w:themeColor="hyperlink"/>
      <w:u w:val="single"/>
    </w:rPr>
  </w:style>
  <w:style w:type="character" w:styleId="UnresolvedMention">
    <w:name w:val="Unresolved Mention"/>
    <w:basedOn w:val="DefaultParagraphFont"/>
    <w:uiPriority w:val="99"/>
    <w:semiHidden/>
    <w:unhideWhenUsed/>
    <w:rsid w:val="00817DEE"/>
    <w:rPr>
      <w:color w:val="605E5C"/>
      <w:shd w:val="clear" w:color="auto" w:fill="E1DFDD"/>
    </w:rPr>
  </w:style>
  <w:style w:type="table" w:styleId="TableGrid">
    <w:name w:val="Table Grid"/>
    <w:basedOn w:val="TableNormal"/>
    <w:uiPriority w:val="39"/>
    <w:rsid w:val="00003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7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AA5"/>
  </w:style>
  <w:style w:type="paragraph" w:styleId="Footer">
    <w:name w:val="footer"/>
    <w:basedOn w:val="Normal"/>
    <w:link w:val="FooterChar"/>
    <w:uiPriority w:val="99"/>
    <w:unhideWhenUsed/>
    <w:rsid w:val="005A7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iversity@lawscot.org.uk" TargetMode="Externa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lawscot.org.uk/media/361498/lss-pop-report-final-december-2018.pdf" TargetMode="External"/><Relationship Id="rId1" Type="http://schemas.openxmlformats.org/officeDocument/2006/relationships/hyperlink" Target="https://www.chathamhouse.org/chatham-house-ru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71FDC-45CF-4C4A-9FB0-0016A77CA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Marrs</dc:creator>
  <cp:keywords/>
  <dc:description/>
  <cp:lastModifiedBy>Elaine MacGlone</cp:lastModifiedBy>
  <cp:revision>2</cp:revision>
  <cp:lastPrinted>2019-04-03T13:08:00Z</cp:lastPrinted>
  <dcterms:created xsi:type="dcterms:W3CDTF">2019-05-17T15:01:00Z</dcterms:created>
  <dcterms:modified xsi:type="dcterms:W3CDTF">2019-05-17T15:01:00Z</dcterms:modified>
</cp:coreProperties>
</file>